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ACA4A" w14:textId="77777777" w:rsidR="00016BC7" w:rsidRPr="00157C31" w:rsidRDefault="00000000" w:rsidP="00157C31">
      <w:pPr>
        <w:pStyle w:val="NoSpacing"/>
        <w:jc w:val="center"/>
        <w:rPr>
          <w:rFonts w:ascii="Times New Roman" w:hAnsi="Times New Roman"/>
          <w:b/>
          <w:sz w:val="24"/>
          <w:szCs w:val="24"/>
          <w:lang w:val="en-GB"/>
        </w:rPr>
      </w:pPr>
      <w:r>
        <w:rPr>
          <w:rFonts w:ascii="Times New Roman" w:hAnsi="Times New Roman"/>
          <w:b/>
          <w:noProof/>
          <w:sz w:val="24"/>
          <w:szCs w:val="24"/>
          <w:lang w:val="en-GB"/>
        </w:rPr>
        <w:object w:dxaOrig="1440" w:dyaOrig="1440" w14:anchorId="2D8D8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2.75pt;margin-top:13.55pt;width:59.25pt;height:64.85pt;z-index:251657216">
            <v:imagedata r:id="rId5" o:title=""/>
          </v:shape>
          <o:OLEObject Type="Embed" ProgID="PBrush" ShapeID="_x0000_s1026" DrawAspect="Content" ObjectID="_1721262108" r:id="rId6"/>
        </w:object>
      </w:r>
      <w:r>
        <w:rPr>
          <w:rFonts w:ascii="Times New Roman" w:hAnsi="Times New Roman"/>
          <w:b/>
          <w:noProof/>
          <w:sz w:val="24"/>
          <w:szCs w:val="24"/>
          <w:lang w:val="en-GB"/>
        </w:rPr>
        <w:object w:dxaOrig="1440" w:dyaOrig="1440" w14:anchorId="298DB84F">
          <v:shape id="_x0000_s1027" type="#_x0000_t75" style="position:absolute;left:0;text-align:left;margin-left:-12.15pt;margin-top:-.25pt;width:67.65pt;height:64.85pt;z-index:251658240">
            <v:imagedata r:id="rId5" o:title=""/>
          </v:shape>
          <o:OLEObject Type="Embed" ProgID="PBrush" ShapeID="_x0000_s1027" DrawAspect="Content" ObjectID="_1721262109" r:id="rId7"/>
        </w:object>
      </w:r>
    </w:p>
    <w:p w14:paraId="58EF5E69" w14:textId="77777777" w:rsidR="00016BC7" w:rsidRPr="00157C31" w:rsidRDefault="00016BC7" w:rsidP="00157C31">
      <w:pPr>
        <w:pStyle w:val="NoSpacing"/>
        <w:jc w:val="center"/>
        <w:rPr>
          <w:rFonts w:ascii="Times New Roman" w:hAnsi="Times New Roman"/>
          <w:b/>
          <w:sz w:val="24"/>
          <w:szCs w:val="24"/>
          <w:lang w:val="en-GB"/>
        </w:rPr>
      </w:pPr>
      <w:r w:rsidRPr="00157C31">
        <w:rPr>
          <w:rFonts w:ascii="Times New Roman" w:hAnsi="Times New Roman"/>
          <w:b/>
          <w:sz w:val="24"/>
          <w:szCs w:val="24"/>
          <w:lang w:val="en-GB"/>
        </w:rPr>
        <w:t xml:space="preserve">      NATIONAL OIL SPILL DETECTION AND RESPONSE AGENCY</w:t>
      </w:r>
    </w:p>
    <w:p w14:paraId="7205C0B4" w14:textId="77777777" w:rsidR="00016BC7" w:rsidRPr="00157C31" w:rsidRDefault="00016BC7" w:rsidP="00157C31">
      <w:pPr>
        <w:pStyle w:val="NoSpacing"/>
        <w:jc w:val="center"/>
        <w:rPr>
          <w:rFonts w:ascii="Times New Roman" w:hAnsi="Times New Roman"/>
          <w:b/>
          <w:sz w:val="24"/>
          <w:szCs w:val="24"/>
          <w:lang w:val="en-GB"/>
        </w:rPr>
      </w:pPr>
      <w:r w:rsidRPr="00157C31">
        <w:rPr>
          <w:rFonts w:ascii="Times New Roman" w:hAnsi="Times New Roman"/>
          <w:b/>
          <w:sz w:val="24"/>
          <w:szCs w:val="24"/>
          <w:lang w:val="en-GB"/>
        </w:rPr>
        <w:t>(NOSDRA)</w:t>
      </w:r>
    </w:p>
    <w:p w14:paraId="61BE9C12" w14:textId="77777777" w:rsidR="00016BC7" w:rsidRPr="00157C31" w:rsidRDefault="00016BC7" w:rsidP="00157C31">
      <w:pPr>
        <w:pStyle w:val="NoSpacing"/>
        <w:jc w:val="center"/>
        <w:rPr>
          <w:rFonts w:ascii="Times New Roman" w:hAnsi="Times New Roman"/>
          <w:b/>
          <w:sz w:val="24"/>
          <w:szCs w:val="24"/>
          <w:lang w:val="en-GB"/>
        </w:rPr>
      </w:pPr>
      <w:r w:rsidRPr="00157C31">
        <w:rPr>
          <w:rFonts w:ascii="Times New Roman" w:hAnsi="Times New Roman"/>
          <w:b/>
          <w:sz w:val="24"/>
          <w:szCs w:val="24"/>
          <w:lang w:val="en-GB"/>
        </w:rPr>
        <w:t>NAIC HOUSE, 5</w:t>
      </w:r>
      <w:r w:rsidRPr="00157C31">
        <w:rPr>
          <w:rFonts w:ascii="Times New Roman" w:hAnsi="Times New Roman"/>
          <w:b/>
          <w:sz w:val="24"/>
          <w:szCs w:val="24"/>
          <w:vertAlign w:val="superscript"/>
          <w:lang w:val="en-GB"/>
        </w:rPr>
        <w:t>TH</w:t>
      </w:r>
      <w:r w:rsidRPr="00157C31">
        <w:rPr>
          <w:rFonts w:ascii="Times New Roman" w:hAnsi="Times New Roman"/>
          <w:b/>
          <w:sz w:val="24"/>
          <w:szCs w:val="24"/>
          <w:lang w:val="en-GB"/>
        </w:rPr>
        <w:t xml:space="preserve"> FLOOR, PLOT 590, ZONE AO,</w:t>
      </w:r>
    </w:p>
    <w:p w14:paraId="687640EB" w14:textId="77777777" w:rsidR="00016BC7" w:rsidRPr="00157C31" w:rsidRDefault="00016BC7" w:rsidP="00157C31">
      <w:pPr>
        <w:pStyle w:val="NoSpacing"/>
        <w:jc w:val="center"/>
        <w:rPr>
          <w:rFonts w:ascii="Times New Roman" w:hAnsi="Times New Roman"/>
          <w:b/>
          <w:sz w:val="24"/>
          <w:szCs w:val="24"/>
          <w:lang w:val="en-GB"/>
        </w:rPr>
      </w:pPr>
      <w:r w:rsidRPr="00157C31">
        <w:rPr>
          <w:rFonts w:ascii="Times New Roman" w:hAnsi="Times New Roman"/>
          <w:b/>
          <w:sz w:val="24"/>
          <w:szCs w:val="24"/>
          <w:lang w:val="en-GB"/>
        </w:rPr>
        <w:t>CENTRAL BUSINESS DISTRICT, ABUJA</w:t>
      </w:r>
    </w:p>
    <w:p w14:paraId="1BA5642B" w14:textId="77777777" w:rsidR="00016BC7" w:rsidRPr="00157C31" w:rsidRDefault="00016BC7" w:rsidP="00157C31">
      <w:pPr>
        <w:pStyle w:val="NoSpacing"/>
        <w:jc w:val="both"/>
        <w:rPr>
          <w:rFonts w:ascii="Times New Roman" w:hAnsi="Times New Roman"/>
          <w:b/>
          <w:sz w:val="24"/>
          <w:szCs w:val="24"/>
          <w:lang w:val="en-GB"/>
        </w:rPr>
      </w:pPr>
    </w:p>
    <w:p w14:paraId="33009592" w14:textId="77777777" w:rsidR="00016BC7" w:rsidRPr="00157C31" w:rsidRDefault="00016BC7" w:rsidP="00157C31">
      <w:pPr>
        <w:jc w:val="center"/>
        <w:rPr>
          <w:b/>
          <w:lang w:val="en-GB"/>
        </w:rPr>
      </w:pPr>
      <w:r w:rsidRPr="00157C31">
        <w:rPr>
          <w:b/>
          <w:lang w:val="en-GB"/>
        </w:rPr>
        <w:t xml:space="preserve">INVITATION TO TENDER </w:t>
      </w:r>
      <w:r w:rsidR="008A3267">
        <w:rPr>
          <w:b/>
          <w:lang w:val="en-GB"/>
        </w:rPr>
        <w:t xml:space="preserve">AND EXPRESSION OF INTEREST </w:t>
      </w:r>
      <w:r w:rsidRPr="00157C31">
        <w:rPr>
          <w:b/>
          <w:lang w:val="en-GB"/>
        </w:rPr>
        <w:t>FOR 2022 CAPITAL PROJECTS</w:t>
      </w:r>
    </w:p>
    <w:p w14:paraId="3876D49C" w14:textId="77777777" w:rsidR="00016BC7" w:rsidRPr="00157C31" w:rsidRDefault="00016BC7" w:rsidP="00157C31">
      <w:pPr>
        <w:pStyle w:val="NoSpacing"/>
        <w:jc w:val="both"/>
        <w:rPr>
          <w:rFonts w:ascii="Times New Roman" w:hAnsi="Times New Roman"/>
          <w:b/>
          <w:sz w:val="24"/>
          <w:szCs w:val="24"/>
          <w:u w:val="single"/>
          <w:lang w:val="en-GB"/>
        </w:rPr>
      </w:pPr>
    </w:p>
    <w:p w14:paraId="41C744F4" w14:textId="77777777" w:rsidR="00016BC7" w:rsidRPr="00157C31" w:rsidRDefault="005264E8" w:rsidP="00157C31">
      <w:pPr>
        <w:pStyle w:val="NoSpacing"/>
        <w:jc w:val="both"/>
        <w:rPr>
          <w:rFonts w:ascii="Times New Roman" w:hAnsi="Times New Roman"/>
          <w:szCs w:val="24"/>
          <w:lang w:val="en-GB"/>
        </w:rPr>
      </w:pPr>
      <w:r w:rsidRPr="005264E8">
        <w:rPr>
          <w:rFonts w:ascii="Times New Roman" w:hAnsi="Times New Roman"/>
          <w:b/>
          <w:sz w:val="24"/>
          <w:szCs w:val="24"/>
          <w:lang w:val="en-GB"/>
        </w:rPr>
        <w:t>1.0</w:t>
      </w:r>
      <w:r>
        <w:rPr>
          <w:rFonts w:ascii="Times New Roman" w:hAnsi="Times New Roman"/>
          <w:sz w:val="24"/>
          <w:szCs w:val="24"/>
          <w:lang w:val="en-GB"/>
        </w:rPr>
        <w:tab/>
      </w:r>
      <w:r w:rsidR="00016BC7" w:rsidRPr="00157C31">
        <w:rPr>
          <w:rFonts w:ascii="Times New Roman" w:hAnsi="Times New Roman"/>
          <w:b/>
          <w:szCs w:val="24"/>
          <w:lang w:val="en-GB"/>
        </w:rPr>
        <w:t>INTRODUCTION</w:t>
      </w:r>
    </w:p>
    <w:p w14:paraId="14AD2E25" w14:textId="77777777" w:rsidR="00016BC7" w:rsidRPr="00157C31" w:rsidRDefault="00016BC7" w:rsidP="00157C31">
      <w:pPr>
        <w:pStyle w:val="NoSpacing"/>
        <w:jc w:val="both"/>
        <w:rPr>
          <w:rFonts w:ascii="Times New Roman" w:hAnsi="Times New Roman"/>
          <w:szCs w:val="24"/>
          <w:lang w:val="en-GB"/>
        </w:rPr>
      </w:pPr>
      <w:r w:rsidRPr="00157C31">
        <w:rPr>
          <w:rFonts w:ascii="Times New Roman" w:hAnsi="Times New Roman"/>
          <w:szCs w:val="24"/>
          <w:lang w:val="en-GB"/>
        </w:rPr>
        <w:t xml:space="preserve">The Federal Government </w:t>
      </w:r>
      <w:r w:rsidR="00157C31" w:rsidRPr="00157C31">
        <w:rPr>
          <w:rFonts w:ascii="Times New Roman" w:hAnsi="Times New Roman"/>
          <w:szCs w:val="24"/>
          <w:lang w:val="en-GB"/>
        </w:rPr>
        <w:t xml:space="preserve">of Nigeria </w:t>
      </w:r>
      <w:r w:rsidRPr="00157C31">
        <w:rPr>
          <w:rFonts w:ascii="Times New Roman" w:hAnsi="Times New Roman"/>
          <w:szCs w:val="24"/>
          <w:lang w:val="en-GB"/>
        </w:rPr>
        <w:t xml:space="preserve">through the office of the National Oil Spill Detection and Response Agency (NOSDRA) invites interested, competent and reputable Contractors and Suppliers with relevant experiences and good track records to </w:t>
      </w:r>
      <w:r w:rsidR="008A3267">
        <w:rPr>
          <w:rFonts w:ascii="Times New Roman" w:hAnsi="Times New Roman"/>
          <w:szCs w:val="24"/>
          <w:lang w:val="en-GB"/>
        </w:rPr>
        <w:t xml:space="preserve">submit bids/Expression of Interest for the following </w:t>
      </w:r>
      <w:r w:rsidRPr="00157C31">
        <w:rPr>
          <w:rFonts w:ascii="Times New Roman" w:hAnsi="Times New Roman"/>
          <w:szCs w:val="24"/>
          <w:lang w:val="en-GB"/>
        </w:rPr>
        <w:t>2022 Capital Projects/Programmes:</w:t>
      </w:r>
    </w:p>
    <w:p w14:paraId="52CFEB53" w14:textId="77777777" w:rsidR="00132388" w:rsidRPr="00157C31" w:rsidRDefault="00132388" w:rsidP="00157C31">
      <w:pPr>
        <w:rPr>
          <w:b/>
          <w:sz w:val="22"/>
          <w:lang w:val="en-GB"/>
        </w:rPr>
        <w:sectPr w:rsidR="00132388" w:rsidRPr="00157C31">
          <w:pgSz w:w="12240" w:h="15840"/>
          <w:pgMar w:top="1440" w:right="1440" w:bottom="1440" w:left="1440" w:header="708" w:footer="708" w:gutter="0"/>
          <w:cols w:space="708"/>
          <w:docGrid w:linePitch="360"/>
        </w:sectPr>
      </w:pPr>
    </w:p>
    <w:p w14:paraId="0D83BD9A" w14:textId="77777777" w:rsidR="00016BC7" w:rsidRPr="00157C31" w:rsidRDefault="00016BC7" w:rsidP="00157C31">
      <w:pPr>
        <w:rPr>
          <w:b/>
          <w:sz w:val="22"/>
          <w:lang w:val="en-GB"/>
        </w:rPr>
      </w:pPr>
      <w:r w:rsidRPr="00157C31">
        <w:rPr>
          <w:b/>
          <w:sz w:val="22"/>
          <w:lang w:val="en-GB"/>
        </w:rPr>
        <w:t>2.0</w:t>
      </w:r>
      <w:r w:rsidRPr="00157C31">
        <w:rPr>
          <w:b/>
          <w:sz w:val="22"/>
          <w:lang w:val="en-GB"/>
        </w:rPr>
        <w:tab/>
        <w:t xml:space="preserve"> SCOPE OF SUPPLY/</w:t>
      </w:r>
      <w:r w:rsidR="00157C31">
        <w:rPr>
          <w:b/>
          <w:sz w:val="22"/>
          <w:lang w:val="en-GB"/>
        </w:rPr>
        <w:t xml:space="preserve">WORKS/ </w:t>
      </w:r>
      <w:r w:rsidRPr="00157C31">
        <w:rPr>
          <w:b/>
          <w:sz w:val="22"/>
          <w:lang w:val="en-GB"/>
        </w:rPr>
        <w:t>SERVICES</w:t>
      </w:r>
    </w:p>
    <w:p w14:paraId="120D6662" w14:textId="77777777" w:rsidR="00016BC7" w:rsidRPr="00157C31" w:rsidRDefault="00016BC7" w:rsidP="00157C31">
      <w:pPr>
        <w:pStyle w:val="NoSpacing"/>
        <w:jc w:val="both"/>
        <w:rPr>
          <w:rFonts w:ascii="Times New Roman" w:hAnsi="Times New Roman"/>
          <w:b/>
          <w:szCs w:val="24"/>
          <w:lang w:val="en-GB"/>
        </w:rPr>
      </w:pPr>
      <w:r w:rsidRPr="00157C31">
        <w:rPr>
          <w:rFonts w:ascii="Times New Roman" w:hAnsi="Times New Roman"/>
          <w:b/>
          <w:szCs w:val="24"/>
          <w:lang w:val="en-GB"/>
        </w:rPr>
        <w:t>2.1</w:t>
      </w:r>
      <w:r w:rsidRPr="00157C31">
        <w:rPr>
          <w:rFonts w:ascii="Times New Roman" w:hAnsi="Times New Roman"/>
          <w:b/>
          <w:szCs w:val="24"/>
          <w:lang w:val="en-GB"/>
        </w:rPr>
        <w:tab/>
        <w:t>CATEGORY A (GOODS)</w:t>
      </w:r>
    </w:p>
    <w:tbl>
      <w:tblPr>
        <w:tblW w:w="48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4252"/>
      </w:tblGrid>
      <w:tr w:rsidR="00157C31" w:rsidRPr="00157C31" w14:paraId="2F56D28A" w14:textId="77777777" w:rsidTr="00157C31">
        <w:trPr>
          <w:trHeight w:val="293"/>
        </w:trPr>
        <w:tc>
          <w:tcPr>
            <w:tcW w:w="563" w:type="dxa"/>
            <w:tcBorders>
              <w:top w:val="single" w:sz="4" w:space="0" w:color="auto"/>
              <w:left w:val="single" w:sz="4" w:space="0" w:color="auto"/>
              <w:bottom w:val="single" w:sz="4" w:space="0" w:color="auto"/>
              <w:right w:val="single" w:sz="4" w:space="0" w:color="auto"/>
            </w:tcBorders>
          </w:tcPr>
          <w:p w14:paraId="271D823D" w14:textId="77777777" w:rsidR="00157C31" w:rsidRPr="00157C31" w:rsidRDefault="00157C31" w:rsidP="00157C31">
            <w:pPr>
              <w:jc w:val="both"/>
              <w:rPr>
                <w:b/>
                <w:lang w:val="en-GB"/>
              </w:rPr>
            </w:pPr>
            <w:r w:rsidRPr="00157C31">
              <w:rPr>
                <w:b/>
                <w:sz w:val="22"/>
                <w:lang w:val="en-GB"/>
              </w:rPr>
              <w:t>LOTS</w:t>
            </w:r>
          </w:p>
        </w:tc>
        <w:tc>
          <w:tcPr>
            <w:tcW w:w="4252" w:type="dxa"/>
            <w:tcBorders>
              <w:top w:val="single" w:sz="4" w:space="0" w:color="auto"/>
              <w:left w:val="single" w:sz="4" w:space="0" w:color="auto"/>
              <w:bottom w:val="single" w:sz="4" w:space="0" w:color="auto"/>
              <w:right w:val="single" w:sz="4" w:space="0" w:color="auto"/>
            </w:tcBorders>
          </w:tcPr>
          <w:p w14:paraId="321A2053" w14:textId="77777777" w:rsidR="00157C31" w:rsidRPr="00157C31" w:rsidRDefault="00157C31" w:rsidP="00157C31">
            <w:pPr>
              <w:jc w:val="both"/>
              <w:rPr>
                <w:b/>
                <w:lang w:val="en-GB"/>
              </w:rPr>
            </w:pPr>
            <w:r w:rsidRPr="00157C31">
              <w:rPr>
                <w:b/>
                <w:sz w:val="22"/>
                <w:lang w:val="en-GB"/>
              </w:rPr>
              <w:t>PROJECT TITLE</w:t>
            </w:r>
          </w:p>
        </w:tc>
      </w:tr>
      <w:tr w:rsidR="00157C31" w:rsidRPr="00157C31" w14:paraId="65BA2E18" w14:textId="77777777" w:rsidTr="00157C31">
        <w:trPr>
          <w:trHeight w:val="293"/>
        </w:trPr>
        <w:tc>
          <w:tcPr>
            <w:tcW w:w="563" w:type="dxa"/>
            <w:tcBorders>
              <w:top w:val="single" w:sz="4" w:space="0" w:color="auto"/>
              <w:left w:val="single" w:sz="4" w:space="0" w:color="auto"/>
              <w:bottom w:val="single" w:sz="4" w:space="0" w:color="auto"/>
              <w:right w:val="single" w:sz="4" w:space="0" w:color="auto"/>
            </w:tcBorders>
          </w:tcPr>
          <w:p w14:paraId="30D7CF6D" w14:textId="77777777" w:rsidR="00157C31" w:rsidRPr="00157C31" w:rsidRDefault="00157C31" w:rsidP="00157C31">
            <w:pPr>
              <w:jc w:val="both"/>
              <w:rPr>
                <w:lang w:val="en-GB"/>
              </w:rPr>
            </w:pPr>
            <w:r w:rsidRPr="00157C31">
              <w:rPr>
                <w:sz w:val="22"/>
                <w:lang w:val="en-GB"/>
              </w:rPr>
              <w:t>Lot G1</w:t>
            </w:r>
          </w:p>
        </w:tc>
        <w:tc>
          <w:tcPr>
            <w:tcW w:w="4252" w:type="dxa"/>
            <w:tcBorders>
              <w:top w:val="single" w:sz="4" w:space="0" w:color="auto"/>
              <w:left w:val="single" w:sz="4" w:space="0" w:color="auto"/>
              <w:bottom w:val="single" w:sz="4" w:space="0" w:color="auto"/>
              <w:right w:val="single" w:sz="4" w:space="0" w:color="auto"/>
            </w:tcBorders>
          </w:tcPr>
          <w:p w14:paraId="623D5386" w14:textId="77777777" w:rsidR="00157C31" w:rsidRPr="00157C31" w:rsidRDefault="00157C31" w:rsidP="00157C31">
            <w:pPr>
              <w:jc w:val="both"/>
              <w:rPr>
                <w:lang w:val="en-GB"/>
              </w:rPr>
            </w:pPr>
            <w:r w:rsidRPr="00157C31">
              <w:rPr>
                <w:lang w:val="en-GB"/>
              </w:rPr>
              <w:t>Procurement of Laboratory Equipment, Reagents and Consumables</w:t>
            </w:r>
          </w:p>
        </w:tc>
      </w:tr>
      <w:tr w:rsidR="00157C31" w:rsidRPr="00157C31" w14:paraId="660551B4" w14:textId="77777777" w:rsidTr="00157C31">
        <w:trPr>
          <w:trHeight w:val="269"/>
        </w:trPr>
        <w:tc>
          <w:tcPr>
            <w:tcW w:w="563" w:type="dxa"/>
            <w:tcBorders>
              <w:top w:val="single" w:sz="4" w:space="0" w:color="auto"/>
              <w:left w:val="single" w:sz="4" w:space="0" w:color="auto"/>
              <w:bottom w:val="single" w:sz="4" w:space="0" w:color="auto"/>
              <w:right w:val="single" w:sz="4" w:space="0" w:color="auto"/>
            </w:tcBorders>
          </w:tcPr>
          <w:p w14:paraId="32873692" w14:textId="77777777" w:rsidR="00157C31" w:rsidRPr="00157C31" w:rsidRDefault="00157C31" w:rsidP="00157C31">
            <w:pPr>
              <w:jc w:val="both"/>
              <w:rPr>
                <w:lang w:val="en-GB"/>
              </w:rPr>
            </w:pPr>
            <w:r w:rsidRPr="00157C31">
              <w:rPr>
                <w:sz w:val="22"/>
                <w:lang w:val="en-GB"/>
              </w:rPr>
              <w:t>Lot G2</w:t>
            </w:r>
          </w:p>
        </w:tc>
        <w:tc>
          <w:tcPr>
            <w:tcW w:w="4252" w:type="dxa"/>
            <w:tcBorders>
              <w:top w:val="single" w:sz="4" w:space="0" w:color="auto"/>
              <w:left w:val="single" w:sz="4" w:space="0" w:color="auto"/>
              <w:bottom w:val="single" w:sz="4" w:space="0" w:color="auto"/>
              <w:right w:val="single" w:sz="4" w:space="0" w:color="auto"/>
            </w:tcBorders>
          </w:tcPr>
          <w:p w14:paraId="08454F71" w14:textId="77777777" w:rsidR="00157C31" w:rsidRPr="00157C31" w:rsidRDefault="00157C31" w:rsidP="00157C31">
            <w:pPr>
              <w:jc w:val="both"/>
              <w:rPr>
                <w:lang w:val="en-GB"/>
              </w:rPr>
            </w:pPr>
            <w:r w:rsidRPr="00157C31">
              <w:rPr>
                <w:sz w:val="22"/>
                <w:lang w:val="en-GB"/>
              </w:rPr>
              <w:t>Procurement of Oil Spill Monitoring Equipment for Underground Storage Integrity Test and Monitoring Aquifers</w:t>
            </w:r>
          </w:p>
        </w:tc>
      </w:tr>
      <w:tr w:rsidR="00157C31" w:rsidRPr="00157C31" w14:paraId="292A650C" w14:textId="77777777" w:rsidTr="00157C31">
        <w:trPr>
          <w:trHeight w:val="269"/>
        </w:trPr>
        <w:tc>
          <w:tcPr>
            <w:tcW w:w="563" w:type="dxa"/>
            <w:tcBorders>
              <w:top w:val="single" w:sz="4" w:space="0" w:color="auto"/>
              <w:left w:val="single" w:sz="4" w:space="0" w:color="auto"/>
              <w:bottom w:val="single" w:sz="4" w:space="0" w:color="auto"/>
              <w:right w:val="single" w:sz="4" w:space="0" w:color="auto"/>
            </w:tcBorders>
          </w:tcPr>
          <w:p w14:paraId="751C544F" w14:textId="77777777" w:rsidR="00157C31" w:rsidRPr="00157C31" w:rsidRDefault="00157C31" w:rsidP="00157C31">
            <w:pPr>
              <w:jc w:val="both"/>
              <w:rPr>
                <w:lang w:val="en-GB"/>
              </w:rPr>
            </w:pPr>
            <w:r w:rsidRPr="00157C31">
              <w:rPr>
                <w:sz w:val="22"/>
                <w:lang w:val="en-GB"/>
              </w:rPr>
              <w:t>Lot G3</w:t>
            </w:r>
          </w:p>
        </w:tc>
        <w:tc>
          <w:tcPr>
            <w:tcW w:w="4252" w:type="dxa"/>
            <w:tcBorders>
              <w:top w:val="single" w:sz="4" w:space="0" w:color="auto"/>
              <w:left w:val="single" w:sz="4" w:space="0" w:color="auto"/>
              <w:bottom w:val="single" w:sz="4" w:space="0" w:color="auto"/>
              <w:right w:val="single" w:sz="4" w:space="0" w:color="auto"/>
            </w:tcBorders>
          </w:tcPr>
          <w:p w14:paraId="5ADB4672" w14:textId="77777777" w:rsidR="00157C31" w:rsidRPr="00157C31" w:rsidRDefault="00157C31" w:rsidP="00157C31">
            <w:pPr>
              <w:jc w:val="both"/>
              <w:rPr>
                <w:lang w:val="en-GB"/>
              </w:rPr>
            </w:pPr>
            <w:r w:rsidRPr="00157C31">
              <w:rPr>
                <w:sz w:val="22"/>
                <w:lang w:val="en-GB"/>
              </w:rPr>
              <w:t>Supply/Procurement of Office Furniture and Equipment</w:t>
            </w:r>
          </w:p>
        </w:tc>
      </w:tr>
    </w:tbl>
    <w:p w14:paraId="5A734AD5" w14:textId="77777777" w:rsidR="00016BC7" w:rsidRPr="00157C31" w:rsidRDefault="00016BC7" w:rsidP="00157C31">
      <w:pPr>
        <w:jc w:val="both"/>
        <w:rPr>
          <w:b/>
          <w:sz w:val="22"/>
          <w:lang w:val="en-GB"/>
        </w:rPr>
      </w:pPr>
    </w:p>
    <w:p w14:paraId="140AC68A" w14:textId="77777777" w:rsidR="00016BC7" w:rsidRPr="00157C31" w:rsidRDefault="00016BC7" w:rsidP="00157C31">
      <w:pPr>
        <w:jc w:val="both"/>
        <w:rPr>
          <w:b/>
          <w:sz w:val="22"/>
          <w:lang w:val="en-GB"/>
        </w:rPr>
      </w:pPr>
      <w:r w:rsidRPr="00157C31">
        <w:rPr>
          <w:b/>
          <w:sz w:val="22"/>
          <w:lang w:val="en-GB"/>
        </w:rPr>
        <w:t>2.2</w:t>
      </w:r>
      <w:r w:rsidRPr="00157C31">
        <w:rPr>
          <w:b/>
          <w:sz w:val="22"/>
          <w:lang w:val="en-GB"/>
        </w:rPr>
        <w:tab/>
        <w:t>CATEGORY B (WORKS)</w:t>
      </w:r>
    </w:p>
    <w:tbl>
      <w:tblPr>
        <w:tblW w:w="48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195"/>
      </w:tblGrid>
      <w:tr w:rsidR="00157C31" w:rsidRPr="00157C31" w14:paraId="62C93486" w14:textId="77777777" w:rsidTr="00157C31">
        <w:trPr>
          <w:trHeight w:val="293"/>
        </w:trPr>
        <w:tc>
          <w:tcPr>
            <w:tcW w:w="680" w:type="dxa"/>
            <w:tcBorders>
              <w:top w:val="single" w:sz="4" w:space="0" w:color="auto"/>
              <w:left w:val="single" w:sz="4" w:space="0" w:color="auto"/>
              <w:bottom w:val="single" w:sz="4" w:space="0" w:color="auto"/>
              <w:right w:val="single" w:sz="4" w:space="0" w:color="auto"/>
            </w:tcBorders>
          </w:tcPr>
          <w:p w14:paraId="7C6F6AF4" w14:textId="77777777" w:rsidR="00157C31" w:rsidRPr="00157C31" w:rsidRDefault="00157C31" w:rsidP="00157C31">
            <w:pPr>
              <w:jc w:val="both"/>
              <w:rPr>
                <w:b/>
                <w:lang w:val="en-GB"/>
              </w:rPr>
            </w:pPr>
            <w:r w:rsidRPr="00157C31">
              <w:rPr>
                <w:b/>
                <w:sz w:val="22"/>
                <w:lang w:val="en-GB"/>
              </w:rPr>
              <w:t>LOT</w:t>
            </w:r>
            <w:r>
              <w:rPr>
                <w:b/>
                <w:sz w:val="22"/>
                <w:lang w:val="en-GB"/>
              </w:rPr>
              <w:t xml:space="preserve"> No</w:t>
            </w:r>
            <w:r w:rsidRPr="00157C31">
              <w:rPr>
                <w:b/>
                <w:sz w:val="22"/>
                <w:lang w:val="en-GB"/>
              </w:rPr>
              <w:t>.</w:t>
            </w:r>
          </w:p>
        </w:tc>
        <w:tc>
          <w:tcPr>
            <w:tcW w:w="4195" w:type="dxa"/>
            <w:tcBorders>
              <w:top w:val="single" w:sz="4" w:space="0" w:color="auto"/>
              <w:left w:val="single" w:sz="4" w:space="0" w:color="auto"/>
              <w:bottom w:val="single" w:sz="4" w:space="0" w:color="auto"/>
              <w:right w:val="single" w:sz="4" w:space="0" w:color="auto"/>
            </w:tcBorders>
          </w:tcPr>
          <w:p w14:paraId="59671623" w14:textId="77777777" w:rsidR="00157C31" w:rsidRPr="00157C31" w:rsidRDefault="00157C31" w:rsidP="00157C31">
            <w:pPr>
              <w:jc w:val="both"/>
              <w:rPr>
                <w:b/>
                <w:lang w:val="en-GB"/>
              </w:rPr>
            </w:pPr>
            <w:r w:rsidRPr="00157C31">
              <w:rPr>
                <w:b/>
                <w:sz w:val="22"/>
                <w:lang w:val="en-GB"/>
              </w:rPr>
              <w:t>PROJECT TITLE</w:t>
            </w:r>
          </w:p>
        </w:tc>
      </w:tr>
      <w:tr w:rsidR="00157C31" w:rsidRPr="00157C31" w14:paraId="4400ED7B" w14:textId="77777777" w:rsidTr="00157C31">
        <w:trPr>
          <w:trHeight w:val="293"/>
        </w:trPr>
        <w:tc>
          <w:tcPr>
            <w:tcW w:w="680" w:type="dxa"/>
            <w:tcBorders>
              <w:top w:val="single" w:sz="4" w:space="0" w:color="auto"/>
              <w:left w:val="single" w:sz="4" w:space="0" w:color="auto"/>
              <w:bottom w:val="single" w:sz="4" w:space="0" w:color="auto"/>
              <w:right w:val="single" w:sz="4" w:space="0" w:color="auto"/>
            </w:tcBorders>
          </w:tcPr>
          <w:p w14:paraId="5BF0E387" w14:textId="77777777" w:rsidR="00157C31" w:rsidRPr="00157C31" w:rsidRDefault="00157C31" w:rsidP="00157C31">
            <w:pPr>
              <w:rPr>
                <w:lang w:val="en-GB"/>
              </w:rPr>
            </w:pPr>
            <w:r w:rsidRPr="00157C31">
              <w:rPr>
                <w:sz w:val="22"/>
                <w:lang w:val="en-GB"/>
              </w:rPr>
              <w:t>Lot W1</w:t>
            </w:r>
          </w:p>
        </w:tc>
        <w:tc>
          <w:tcPr>
            <w:tcW w:w="4195" w:type="dxa"/>
            <w:tcBorders>
              <w:top w:val="single" w:sz="4" w:space="0" w:color="auto"/>
              <w:left w:val="single" w:sz="4" w:space="0" w:color="auto"/>
              <w:bottom w:val="single" w:sz="4" w:space="0" w:color="auto"/>
              <w:right w:val="single" w:sz="4" w:space="0" w:color="auto"/>
            </w:tcBorders>
          </w:tcPr>
          <w:p w14:paraId="43558CA2" w14:textId="77777777" w:rsidR="00157C31" w:rsidRPr="00157C31" w:rsidRDefault="00157C31" w:rsidP="00157C31">
            <w:pPr>
              <w:jc w:val="both"/>
              <w:rPr>
                <w:lang w:val="en-GB"/>
              </w:rPr>
            </w:pPr>
            <w:r w:rsidRPr="00157C31">
              <w:rPr>
                <w:sz w:val="22"/>
                <w:lang w:val="en-GB"/>
              </w:rPr>
              <w:t>Design and Construction of Warehouse/Hanger for Spaces allocated to NOSDRA for Dispersants and Firefighting Equipment by FAAN in Lagos, Port-Harcourt, Calabar and Kaduna</w:t>
            </w:r>
          </w:p>
        </w:tc>
      </w:tr>
      <w:tr w:rsidR="00157C31" w:rsidRPr="00157C31" w14:paraId="63FBDA0B" w14:textId="77777777" w:rsidTr="00157C31">
        <w:trPr>
          <w:trHeight w:val="269"/>
        </w:trPr>
        <w:tc>
          <w:tcPr>
            <w:tcW w:w="680" w:type="dxa"/>
            <w:tcBorders>
              <w:top w:val="single" w:sz="4" w:space="0" w:color="auto"/>
              <w:left w:val="single" w:sz="4" w:space="0" w:color="auto"/>
              <w:bottom w:val="single" w:sz="4" w:space="0" w:color="auto"/>
              <w:right w:val="single" w:sz="4" w:space="0" w:color="auto"/>
            </w:tcBorders>
          </w:tcPr>
          <w:p w14:paraId="72A35E39" w14:textId="77777777" w:rsidR="00157C31" w:rsidRPr="00157C31" w:rsidRDefault="00157C31" w:rsidP="00157C31">
            <w:pPr>
              <w:rPr>
                <w:lang w:val="en-GB"/>
              </w:rPr>
            </w:pPr>
            <w:r w:rsidRPr="00157C31">
              <w:rPr>
                <w:sz w:val="22"/>
                <w:lang w:val="en-GB"/>
              </w:rPr>
              <w:t>Lot W2</w:t>
            </w:r>
          </w:p>
        </w:tc>
        <w:tc>
          <w:tcPr>
            <w:tcW w:w="4195" w:type="dxa"/>
            <w:tcBorders>
              <w:top w:val="single" w:sz="4" w:space="0" w:color="auto"/>
              <w:left w:val="single" w:sz="4" w:space="0" w:color="auto"/>
              <w:bottom w:val="single" w:sz="4" w:space="0" w:color="auto"/>
              <w:right w:val="single" w:sz="4" w:space="0" w:color="auto"/>
            </w:tcBorders>
          </w:tcPr>
          <w:p w14:paraId="0062A90C" w14:textId="77777777" w:rsidR="00157C31" w:rsidRPr="00157C31" w:rsidRDefault="00157C31" w:rsidP="00157C31">
            <w:pPr>
              <w:jc w:val="both"/>
              <w:rPr>
                <w:lang w:val="en-GB"/>
              </w:rPr>
            </w:pPr>
            <w:r w:rsidRPr="00157C31">
              <w:rPr>
                <w:sz w:val="22"/>
                <w:szCs w:val="22"/>
                <w:lang w:val="en-GB"/>
              </w:rPr>
              <w:t xml:space="preserve">Dredging of Flood Reservoir in </w:t>
            </w:r>
            <w:proofErr w:type="spellStart"/>
            <w:r w:rsidRPr="00157C31">
              <w:rPr>
                <w:sz w:val="22"/>
                <w:szCs w:val="22"/>
                <w:lang w:val="en-GB"/>
              </w:rPr>
              <w:t>Aguku</w:t>
            </w:r>
            <w:proofErr w:type="spellEnd"/>
            <w:r w:rsidRPr="00157C31">
              <w:rPr>
                <w:sz w:val="22"/>
                <w:szCs w:val="22"/>
                <w:lang w:val="en-GB"/>
              </w:rPr>
              <w:t xml:space="preserve">, </w:t>
            </w:r>
            <w:proofErr w:type="spellStart"/>
            <w:r w:rsidRPr="00157C31">
              <w:rPr>
                <w:sz w:val="22"/>
                <w:szCs w:val="22"/>
                <w:lang w:val="en-GB"/>
              </w:rPr>
              <w:t>Ezinifite</w:t>
            </w:r>
            <w:proofErr w:type="spellEnd"/>
            <w:r>
              <w:rPr>
                <w:sz w:val="22"/>
                <w:szCs w:val="22"/>
                <w:lang w:val="en-GB"/>
              </w:rPr>
              <w:t xml:space="preserve"> </w:t>
            </w:r>
            <w:proofErr w:type="spellStart"/>
            <w:r w:rsidRPr="00157C31">
              <w:rPr>
                <w:sz w:val="22"/>
                <w:szCs w:val="22"/>
                <w:lang w:val="en-GB"/>
              </w:rPr>
              <w:t>Aguata</w:t>
            </w:r>
            <w:proofErr w:type="spellEnd"/>
            <w:r w:rsidRPr="00157C31">
              <w:rPr>
                <w:sz w:val="22"/>
                <w:szCs w:val="22"/>
                <w:lang w:val="en-GB"/>
              </w:rPr>
              <w:t xml:space="preserve"> Federal Constituency, Anambra State</w:t>
            </w:r>
          </w:p>
        </w:tc>
      </w:tr>
    </w:tbl>
    <w:p w14:paraId="4FE8CA0A" w14:textId="77777777" w:rsidR="00016BC7" w:rsidRPr="00157C31" w:rsidRDefault="00016BC7" w:rsidP="00157C31">
      <w:pPr>
        <w:jc w:val="both"/>
        <w:rPr>
          <w:sz w:val="22"/>
          <w:lang w:val="en-GB"/>
        </w:rPr>
      </w:pPr>
    </w:p>
    <w:p w14:paraId="309BB507" w14:textId="77777777" w:rsidR="00016BC7" w:rsidRPr="00157C31" w:rsidRDefault="00016BC7" w:rsidP="00157C31">
      <w:pPr>
        <w:jc w:val="both"/>
        <w:rPr>
          <w:b/>
          <w:sz w:val="22"/>
          <w:lang w:val="en-GB"/>
        </w:rPr>
      </w:pPr>
      <w:r w:rsidRPr="00157C31">
        <w:rPr>
          <w:b/>
          <w:bCs/>
          <w:sz w:val="22"/>
          <w:lang w:val="en-GB"/>
        </w:rPr>
        <w:t>2.3</w:t>
      </w:r>
      <w:r w:rsidRPr="00157C31">
        <w:rPr>
          <w:sz w:val="22"/>
          <w:lang w:val="en-GB"/>
        </w:rPr>
        <w:tab/>
      </w:r>
      <w:r w:rsidR="00157C31">
        <w:rPr>
          <w:b/>
          <w:sz w:val="22"/>
          <w:lang w:val="en-GB"/>
        </w:rPr>
        <w:t xml:space="preserve">CATEGORY </w:t>
      </w:r>
      <w:r w:rsidRPr="00157C31">
        <w:rPr>
          <w:b/>
          <w:sz w:val="22"/>
          <w:lang w:val="en-GB"/>
        </w:rPr>
        <w:t xml:space="preserve">C </w:t>
      </w:r>
      <w:r w:rsidR="00157C31">
        <w:rPr>
          <w:b/>
          <w:sz w:val="22"/>
          <w:lang w:val="en-GB"/>
        </w:rPr>
        <w:t>(</w:t>
      </w:r>
      <w:r w:rsidRPr="00157C31">
        <w:rPr>
          <w:b/>
          <w:sz w:val="22"/>
          <w:lang w:val="en-GB"/>
        </w:rPr>
        <w:t>CONSULTANCY</w:t>
      </w:r>
      <w:r w:rsidR="00157C31">
        <w:rPr>
          <w:b/>
          <w:sz w:val="22"/>
          <w:lang w:val="en-GB"/>
        </w:rPr>
        <w:t>)</w:t>
      </w:r>
    </w:p>
    <w:tbl>
      <w:tblPr>
        <w:tblW w:w="489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4309"/>
      </w:tblGrid>
      <w:tr w:rsidR="00157C31" w:rsidRPr="00157C31" w14:paraId="08C67B87" w14:textId="77777777" w:rsidTr="00157C31">
        <w:trPr>
          <w:trHeight w:val="293"/>
        </w:trPr>
        <w:tc>
          <w:tcPr>
            <w:tcW w:w="590" w:type="dxa"/>
            <w:tcBorders>
              <w:top w:val="single" w:sz="4" w:space="0" w:color="auto"/>
              <w:left w:val="single" w:sz="4" w:space="0" w:color="auto"/>
              <w:bottom w:val="single" w:sz="4" w:space="0" w:color="auto"/>
              <w:right w:val="single" w:sz="4" w:space="0" w:color="auto"/>
            </w:tcBorders>
          </w:tcPr>
          <w:p w14:paraId="607CADC0" w14:textId="77777777" w:rsidR="00157C31" w:rsidRPr="00157C31" w:rsidRDefault="00157C31" w:rsidP="00157C31">
            <w:pPr>
              <w:jc w:val="both"/>
              <w:rPr>
                <w:b/>
                <w:lang w:val="en-GB"/>
              </w:rPr>
            </w:pPr>
            <w:r w:rsidRPr="00157C31">
              <w:rPr>
                <w:b/>
                <w:sz w:val="22"/>
                <w:lang w:val="en-GB"/>
              </w:rPr>
              <w:t>LOTS</w:t>
            </w:r>
          </w:p>
        </w:tc>
        <w:tc>
          <w:tcPr>
            <w:tcW w:w="4309" w:type="dxa"/>
            <w:tcBorders>
              <w:top w:val="single" w:sz="4" w:space="0" w:color="auto"/>
              <w:left w:val="single" w:sz="4" w:space="0" w:color="auto"/>
              <w:bottom w:val="single" w:sz="4" w:space="0" w:color="auto"/>
              <w:right w:val="single" w:sz="4" w:space="0" w:color="auto"/>
            </w:tcBorders>
          </w:tcPr>
          <w:p w14:paraId="2A228148" w14:textId="77777777" w:rsidR="00157C31" w:rsidRPr="00157C31" w:rsidRDefault="00157C31" w:rsidP="00157C31">
            <w:pPr>
              <w:jc w:val="both"/>
              <w:rPr>
                <w:b/>
                <w:lang w:val="en-GB"/>
              </w:rPr>
            </w:pPr>
            <w:r w:rsidRPr="00157C31">
              <w:rPr>
                <w:b/>
                <w:sz w:val="22"/>
                <w:lang w:val="en-GB"/>
              </w:rPr>
              <w:t>PROJECT TITLE</w:t>
            </w:r>
          </w:p>
        </w:tc>
      </w:tr>
      <w:tr w:rsidR="00157C31" w:rsidRPr="00157C31" w14:paraId="6C3F19C7" w14:textId="77777777" w:rsidTr="00157C31">
        <w:trPr>
          <w:trHeight w:val="293"/>
        </w:trPr>
        <w:tc>
          <w:tcPr>
            <w:tcW w:w="590" w:type="dxa"/>
            <w:tcBorders>
              <w:top w:val="single" w:sz="4" w:space="0" w:color="auto"/>
              <w:left w:val="single" w:sz="4" w:space="0" w:color="auto"/>
              <w:bottom w:val="single" w:sz="4" w:space="0" w:color="auto"/>
              <w:right w:val="single" w:sz="4" w:space="0" w:color="auto"/>
            </w:tcBorders>
          </w:tcPr>
          <w:p w14:paraId="417DB1C0" w14:textId="77777777" w:rsidR="00157C31" w:rsidRPr="00157C31" w:rsidRDefault="00157C31" w:rsidP="00157C31">
            <w:pPr>
              <w:rPr>
                <w:lang w:val="en-GB"/>
              </w:rPr>
            </w:pPr>
            <w:r w:rsidRPr="00157C31">
              <w:rPr>
                <w:sz w:val="22"/>
                <w:lang w:val="en-GB"/>
              </w:rPr>
              <w:t>Lot C1</w:t>
            </w:r>
          </w:p>
        </w:tc>
        <w:tc>
          <w:tcPr>
            <w:tcW w:w="4309" w:type="dxa"/>
            <w:tcBorders>
              <w:top w:val="single" w:sz="4" w:space="0" w:color="auto"/>
              <w:left w:val="single" w:sz="4" w:space="0" w:color="auto"/>
              <w:bottom w:val="single" w:sz="4" w:space="0" w:color="auto"/>
              <w:right w:val="single" w:sz="4" w:space="0" w:color="auto"/>
            </w:tcBorders>
          </w:tcPr>
          <w:p w14:paraId="0E18E613" w14:textId="77777777" w:rsidR="00157C31" w:rsidRPr="00157C31" w:rsidRDefault="00157C31" w:rsidP="00157C31">
            <w:pPr>
              <w:jc w:val="both"/>
              <w:rPr>
                <w:lang w:val="en-GB"/>
              </w:rPr>
            </w:pPr>
            <w:r w:rsidRPr="00157C31">
              <w:rPr>
                <w:sz w:val="22"/>
                <w:lang w:val="en-GB"/>
              </w:rPr>
              <w:t>Design and Development of Smart Hydrocarbon Spillage Detection System for the Downstream Sector</w:t>
            </w:r>
          </w:p>
        </w:tc>
      </w:tr>
      <w:tr w:rsidR="00157C31" w:rsidRPr="00157C31" w14:paraId="6F9AC59C" w14:textId="77777777" w:rsidTr="00157C31">
        <w:trPr>
          <w:trHeight w:val="269"/>
        </w:trPr>
        <w:tc>
          <w:tcPr>
            <w:tcW w:w="590" w:type="dxa"/>
            <w:tcBorders>
              <w:top w:val="single" w:sz="4" w:space="0" w:color="auto"/>
              <w:left w:val="single" w:sz="4" w:space="0" w:color="auto"/>
              <w:bottom w:val="single" w:sz="4" w:space="0" w:color="auto"/>
              <w:right w:val="single" w:sz="4" w:space="0" w:color="auto"/>
            </w:tcBorders>
          </w:tcPr>
          <w:p w14:paraId="4BCCCDF2" w14:textId="77777777" w:rsidR="00157C31" w:rsidRPr="00157C31" w:rsidRDefault="00157C31" w:rsidP="00157C31">
            <w:pPr>
              <w:rPr>
                <w:lang w:val="en-GB"/>
              </w:rPr>
            </w:pPr>
            <w:r w:rsidRPr="00157C31">
              <w:rPr>
                <w:sz w:val="22"/>
                <w:lang w:val="en-GB"/>
              </w:rPr>
              <w:t>Lot C2</w:t>
            </w:r>
          </w:p>
        </w:tc>
        <w:tc>
          <w:tcPr>
            <w:tcW w:w="4309" w:type="dxa"/>
            <w:tcBorders>
              <w:top w:val="single" w:sz="4" w:space="0" w:color="auto"/>
              <w:left w:val="single" w:sz="4" w:space="0" w:color="auto"/>
              <w:bottom w:val="single" w:sz="4" w:space="0" w:color="auto"/>
              <w:right w:val="single" w:sz="4" w:space="0" w:color="auto"/>
            </w:tcBorders>
          </w:tcPr>
          <w:p w14:paraId="0B059110" w14:textId="77777777" w:rsidR="00157C31" w:rsidRPr="00157C31" w:rsidRDefault="00157C31" w:rsidP="00157C31">
            <w:pPr>
              <w:jc w:val="both"/>
              <w:rPr>
                <w:lang w:val="en-GB"/>
              </w:rPr>
            </w:pPr>
            <w:r w:rsidRPr="00157C31">
              <w:rPr>
                <w:sz w:val="22"/>
                <w:lang w:val="en-GB"/>
              </w:rPr>
              <w:t xml:space="preserve">Development of Information System Framework for Oil Spill Reporting, </w:t>
            </w:r>
            <w:r w:rsidRPr="00157C31">
              <w:rPr>
                <w:sz w:val="22"/>
                <w:lang w:val="en-GB"/>
              </w:rPr>
              <w:t>Assessment and Clean-up in Nigeria</w:t>
            </w:r>
          </w:p>
        </w:tc>
      </w:tr>
      <w:tr w:rsidR="00157C31" w:rsidRPr="00157C31" w14:paraId="386EF918" w14:textId="77777777" w:rsidTr="00157C31">
        <w:trPr>
          <w:trHeight w:val="269"/>
        </w:trPr>
        <w:tc>
          <w:tcPr>
            <w:tcW w:w="590" w:type="dxa"/>
            <w:tcBorders>
              <w:top w:val="single" w:sz="4" w:space="0" w:color="auto"/>
              <w:left w:val="single" w:sz="4" w:space="0" w:color="auto"/>
              <w:bottom w:val="single" w:sz="4" w:space="0" w:color="auto"/>
              <w:right w:val="single" w:sz="4" w:space="0" w:color="auto"/>
            </w:tcBorders>
          </w:tcPr>
          <w:p w14:paraId="1F9BF7B9" w14:textId="77777777" w:rsidR="00157C31" w:rsidRPr="00157C31" w:rsidRDefault="00157C31" w:rsidP="00157C31">
            <w:pPr>
              <w:rPr>
                <w:lang w:val="en-GB"/>
              </w:rPr>
            </w:pPr>
            <w:r w:rsidRPr="00157C31">
              <w:rPr>
                <w:sz w:val="22"/>
                <w:lang w:val="en-GB"/>
              </w:rPr>
              <w:t>Lot C3</w:t>
            </w:r>
          </w:p>
        </w:tc>
        <w:tc>
          <w:tcPr>
            <w:tcW w:w="4309" w:type="dxa"/>
            <w:tcBorders>
              <w:top w:val="single" w:sz="4" w:space="0" w:color="auto"/>
              <w:left w:val="single" w:sz="4" w:space="0" w:color="auto"/>
              <w:bottom w:val="single" w:sz="4" w:space="0" w:color="auto"/>
              <w:right w:val="single" w:sz="4" w:space="0" w:color="auto"/>
            </w:tcBorders>
          </w:tcPr>
          <w:p w14:paraId="3D7B2609" w14:textId="77777777" w:rsidR="00157C31" w:rsidRPr="00157C31" w:rsidRDefault="00157C31" w:rsidP="00157C31">
            <w:pPr>
              <w:jc w:val="both"/>
              <w:rPr>
                <w:lang w:val="en-GB"/>
              </w:rPr>
            </w:pPr>
            <w:r w:rsidRPr="00157C31">
              <w:rPr>
                <w:sz w:val="22"/>
                <w:lang w:val="en-GB"/>
              </w:rPr>
              <w:t>Development of Regulations and Standards for Recycling of Spent Oil in Nigeria</w:t>
            </w:r>
          </w:p>
        </w:tc>
      </w:tr>
      <w:tr w:rsidR="00157C31" w:rsidRPr="00157C31" w14:paraId="02649B75" w14:textId="77777777" w:rsidTr="00157C31">
        <w:trPr>
          <w:trHeight w:val="269"/>
        </w:trPr>
        <w:tc>
          <w:tcPr>
            <w:tcW w:w="590" w:type="dxa"/>
            <w:tcBorders>
              <w:top w:val="single" w:sz="4" w:space="0" w:color="auto"/>
              <w:left w:val="single" w:sz="4" w:space="0" w:color="auto"/>
              <w:bottom w:val="single" w:sz="4" w:space="0" w:color="auto"/>
              <w:right w:val="single" w:sz="4" w:space="0" w:color="auto"/>
            </w:tcBorders>
          </w:tcPr>
          <w:p w14:paraId="1456CEAF" w14:textId="77777777" w:rsidR="00157C31" w:rsidRPr="00157C31" w:rsidRDefault="00157C31" w:rsidP="00157C31">
            <w:pPr>
              <w:rPr>
                <w:lang w:val="en-GB"/>
              </w:rPr>
            </w:pPr>
            <w:r w:rsidRPr="00157C31">
              <w:rPr>
                <w:sz w:val="22"/>
                <w:lang w:val="en-GB"/>
              </w:rPr>
              <w:t>Lot C4</w:t>
            </w:r>
          </w:p>
        </w:tc>
        <w:tc>
          <w:tcPr>
            <w:tcW w:w="4309" w:type="dxa"/>
            <w:tcBorders>
              <w:top w:val="single" w:sz="4" w:space="0" w:color="auto"/>
              <w:left w:val="single" w:sz="4" w:space="0" w:color="auto"/>
              <w:bottom w:val="single" w:sz="4" w:space="0" w:color="auto"/>
              <w:right w:val="single" w:sz="4" w:space="0" w:color="auto"/>
            </w:tcBorders>
          </w:tcPr>
          <w:p w14:paraId="6143D58E" w14:textId="77777777" w:rsidR="00157C31" w:rsidRPr="00157C31" w:rsidRDefault="00157C31" w:rsidP="00157C31">
            <w:pPr>
              <w:jc w:val="both"/>
              <w:rPr>
                <w:lang w:val="en-GB"/>
              </w:rPr>
            </w:pPr>
            <w:r w:rsidRPr="00157C31">
              <w:rPr>
                <w:sz w:val="22"/>
                <w:lang w:val="en-GB"/>
              </w:rPr>
              <w:t>Monitoring and Evaluation of Capital Projects</w:t>
            </w:r>
          </w:p>
        </w:tc>
      </w:tr>
    </w:tbl>
    <w:p w14:paraId="68AC7613" w14:textId="77777777" w:rsidR="00016BC7" w:rsidRPr="00157C31" w:rsidRDefault="00016BC7" w:rsidP="00157C31">
      <w:pPr>
        <w:ind w:left="720" w:hanging="720"/>
        <w:jc w:val="both"/>
        <w:rPr>
          <w:sz w:val="22"/>
          <w:lang w:val="en-GB"/>
        </w:rPr>
      </w:pPr>
    </w:p>
    <w:p w14:paraId="3B3A94F1" w14:textId="77777777" w:rsidR="00016BC7" w:rsidRPr="00157C31" w:rsidRDefault="00016BC7" w:rsidP="00157C31">
      <w:pPr>
        <w:ind w:left="360" w:hanging="360"/>
        <w:jc w:val="both"/>
        <w:rPr>
          <w:b/>
          <w:sz w:val="22"/>
          <w:lang w:val="en-GB"/>
        </w:rPr>
      </w:pPr>
      <w:r w:rsidRPr="00157C31">
        <w:rPr>
          <w:sz w:val="22"/>
          <w:lang w:val="en-GB"/>
        </w:rPr>
        <w:t>3.</w:t>
      </w:r>
      <w:r w:rsidRPr="00157C31">
        <w:rPr>
          <w:sz w:val="22"/>
          <w:lang w:val="en-GB"/>
        </w:rPr>
        <w:tab/>
      </w:r>
      <w:r w:rsidRPr="00157C31">
        <w:rPr>
          <w:b/>
          <w:sz w:val="22"/>
          <w:lang w:val="en-GB"/>
        </w:rPr>
        <w:t>ELIGIBILITY REQUIREMENTS</w:t>
      </w:r>
    </w:p>
    <w:p w14:paraId="5170AA75" w14:textId="77777777" w:rsidR="00016BC7" w:rsidRPr="00157C31" w:rsidRDefault="00016BC7" w:rsidP="00157C31">
      <w:pPr>
        <w:ind w:firstLine="360"/>
        <w:jc w:val="both"/>
        <w:rPr>
          <w:sz w:val="22"/>
          <w:lang w:val="en-GB"/>
        </w:rPr>
      </w:pPr>
      <w:r w:rsidRPr="00157C31">
        <w:rPr>
          <w:sz w:val="22"/>
          <w:lang w:val="en-GB"/>
        </w:rPr>
        <w:t xml:space="preserve">Prospective bidders </w:t>
      </w:r>
      <w:r w:rsidR="00157C31">
        <w:rPr>
          <w:sz w:val="22"/>
          <w:lang w:val="en-GB"/>
        </w:rPr>
        <w:t>should</w:t>
      </w:r>
      <w:r w:rsidRPr="00157C31">
        <w:rPr>
          <w:sz w:val="22"/>
          <w:lang w:val="en-GB"/>
        </w:rPr>
        <w:t xml:space="preserve"> submit the following documents:</w:t>
      </w:r>
    </w:p>
    <w:p w14:paraId="6A481A3A" w14:textId="77777777" w:rsidR="00016BC7" w:rsidRPr="00157C31" w:rsidRDefault="00016BC7" w:rsidP="00157C31">
      <w:pPr>
        <w:pStyle w:val="ListParagraph"/>
        <w:numPr>
          <w:ilvl w:val="0"/>
          <w:numId w:val="2"/>
        </w:numPr>
        <w:spacing w:after="0" w:line="240" w:lineRule="auto"/>
        <w:ind w:left="450" w:hanging="450"/>
        <w:contextualSpacing w:val="0"/>
        <w:jc w:val="both"/>
        <w:rPr>
          <w:rFonts w:ascii="Times New Roman" w:hAnsi="Times New Roman"/>
          <w:lang w:val="en-GB"/>
        </w:rPr>
      </w:pPr>
      <w:r w:rsidRPr="00157C31">
        <w:rPr>
          <w:rFonts w:ascii="Times New Roman" w:hAnsi="Times New Roman"/>
          <w:szCs w:val="24"/>
          <w:lang w:val="en-GB"/>
        </w:rPr>
        <w:t xml:space="preserve">Evidence of Certificate of Incorporation </w:t>
      </w:r>
      <w:r w:rsidR="00157C31">
        <w:rPr>
          <w:rFonts w:ascii="Times New Roman" w:hAnsi="Times New Roman"/>
          <w:szCs w:val="24"/>
          <w:lang w:val="en-GB"/>
        </w:rPr>
        <w:t>issued by</w:t>
      </w:r>
      <w:r w:rsidRPr="00157C31">
        <w:rPr>
          <w:rFonts w:ascii="Times New Roman" w:hAnsi="Times New Roman"/>
          <w:szCs w:val="24"/>
          <w:lang w:val="en-GB"/>
        </w:rPr>
        <w:t xml:space="preserve"> the Corporate Affairs Commission (CAC) including Forms CAC2 and CAC7. </w:t>
      </w:r>
      <w:r w:rsidRPr="00157C31">
        <w:rPr>
          <w:rFonts w:ascii="Times New Roman" w:hAnsi="Times New Roman"/>
          <w:lang w:val="en-GB"/>
        </w:rPr>
        <w:t>Business name is also acceptable for Services;</w:t>
      </w:r>
    </w:p>
    <w:p w14:paraId="6B230719" w14:textId="77777777" w:rsidR="00016BC7" w:rsidRPr="00157C31" w:rsidRDefault="00016BC7" w:rsidP="00157C31">
      <w:pPr>
        <w:pStyle w:val="ListParagraph"/>
        <w:numPr>
          <w:ilvl w:val="0"/>
          <w:numId w:val="2"/>
        </w:numPr>
        <w:spacing w:after="0" w:line="240" w:lineRule="auto"/>
        <w:ind w:left="450" w:hanging="450"/>
        <w:contextualSpacing w:val="0"/>
        <w:jc w:val="both"/>
        <w:rPr>
          <w:rFonts w:ascii="Times New Roman" w:hAnsi="Times New Roman"/>
          <w:szCs w:val="24"/>
          <w:lang w:val="en-GB"/>
        </w:rPr>
      </w:pPr>
      <w:r w:rsidRPr="00157C31">
        <w:rPr>
          <w:rFonts w:ascii="Times New Roman" w:hAnsi="Times New Roman"/>
          <w:szCs w:val="24"/>
          <w:lang w:val="en-GB"/>
        </w:rPr>
        <w:t>Evidence of</w:t>
      </w:r>
      <w:r w:rsidRPr="00157C31">
        <w:rPr>
          <w:lang w:val="en-GB"/>
        </w:rPr>
        <w:t xml:space="preserve"> Company’s</w:t>
      </w:r>
      <w:r w:rsidRPr="00157C31">
        <w:rPr>
          <w:rFonts w:ascii="Times New Roman" w:hAnsi="Times New Roman"/>
          <w:szCs w:val="24"/>
          <w:lang w:val="en-GB"/>
        </w:rPr>
        <w:t xml:space="preserve"> Tax Clearance Certificate </w:t>
      </w:r>
      <w:r w:rsidR="00157C31">
        <w:rPr>
          <w:rFonts w:ascii="Times New Roman" w:hAnsi="Times New Roman"/>
          <w:szCs w:val="24"/>
          <w:lang w:val="en-GB"/>
        </w:rPr>
        <w:t xml:space="preserve">(or Personal Income Tax Clearance Certificate in case of Business Name) </w:t>
      </w:r>
      <w:r w:rsidRPr="00157C31">
        <w:rPr>
          <w:rFonts w:ascii="Times New Roman" w:hAnsi="Times New Roman"/>
          <w:szCs w:val="24"/>
          <w:lang w:val="en-GB"/>
        </w:rPr>
        <w:t>for the last three (3) years (2019, 2020, 2021) valid till 31</w:t>
      </w:r>
      <w:r w:rsidRPr="00157C31">
        <w:rPr>
          <w:rFonts w:ascii="Times New Roman" w:hAnsi="Times New Roman"/>
          <w:szCs w:val="24"/>
          <w:vertAlign w:val="superscript"/>
          <w:lang w:val="en-GB"/>
        </w:rPr>
        <w:t>st</w:t>
      </w:r>
      <w:r w:rsidRPr="00157C31">
        <w:rPr>
          <w:rFonts w:ascii="Times New Roman" w:hAnsi="Times New Roman"/>
          <w:szCs w:val="24"/>
          <w:lang w:val="en-GB"/>
        </w:rPr>
        <w:t xml:space="preserve"> December, 2022;</w:t>
      </w:r>
    </w:p>
    <w:p w14:paraId="39D436BB" w14:textId="77777777" w:rsidR="00157C31" w:rsidRPr="00157C31" w:rsidRDefault="00157C31" w:rsidP="00157C31">
      <w:pPr>
        <w:pStyle w:val="ListParagraph"/>
        <w:numPr>
          <w:ilvl w:val="0"/>
          <w:numId w:val="2"/>
        </w:numPr>
        <w:spacing w:after="0" w:line="240" w:lineRule="auto"/>
        <w:ind w:left="450" w:hanging="450"/>
        <w:contextualSpacing w:val="0"/>
        <w:jc w:val="both"/>
        <w:rPr>
          <w:rFonts w:ascii="Times New Roman" w:hAnsi="Times New Roman"/>
          <w:szCs w:val="24"/>
          <w:lang w:val="en-GB"/>
        </w:rPr>
      </w:pPr>
      <w:r w:rsidRPr="00157C31">
        <w:rPr>
          <w:rFonts w:ascii="Times New Roman" w:hAnsi="Times New Roman"/>
          <w:szCs w:val="24"/>
          <w:lang w:val="en-GB"/>
        </w:rPr>
        <w:t>Evidence of Pension Clearance Certificate valid till 31st December, 2022 (this requirement is only applicable to bidders whose number of staff is 15 and above);</w:t>
      </w:r>
    </w:p>
    <w:p w14:paraId="1D446619" w14:textId="77777777" w:rsidR="00016BC7" w:rsidRPr="00157C31" w:rsidRDefault="00157C31" w:rsidP="00157C31">
      <w:pPr>
        <w:pStyle w:val="ListParagraph"/>
        <w:numPr>
          <w:ilvl w:val="0"/>
          <w:numId w:val="2"/>
        </w:numPr>
        <w:spacing w:after="0" w:line="240" w:lineRule="auto"/>
        <w:ind w:left="450" w:hanging="450"/>
        <w:contextualSpacing w:val="0"/>
        <w:jc w:val="both"/>
        <w:rPr>
          <w:rFonts w:ascii="Times New Roman" w:hAnsi="Times New Roman"/>
          <w:szCs w:val="24"/>
          <w:lang w:val="en-GB"/>
        </w:rPr>
      </w:pPr>
      <w:r w:rsidRPr="00157C31">
        <w:rPr>
          <w:rFonts w:ascii="Times New Roman" w:hAnsi="Times New Roman"/>
          <w:szCs w:val="24"/>
          <w:lang w:val="en-GB"/>
        </w:rPr>
        <w:t>Evidence of Industrial Training Fund (ITF) Compliance Certificate valid till 31st December, 2022 (this requirement is only applicable to bidders whose number of staff is 5 and above or the bidder’s annual turnover is N50m and above)</w:t>
      </w:r>
      <w:r w:rsidR="00016BC7" w:rsidRPr="00157C31">
        <w:rPr>
          <w:rFonts w:ascii="Times New Roman" w:hAnsi="Times New Roman"/>
          <w:szCs w:val="24"/>
          <w:lang w:val="en-GB"/>
        </w:rPr>
        <w:t xml:space="preserve">; </w:t>
      </w:r>
    </w:p>
    <w:p w14:paraId="640D8F77" w14:textId="77777777" w:rsidR="00016BC7" w:rsidRPr="00157C31" w:rsidRDefault="00016BC7" w:rsidP="00157C31">
      <w:pPr>
        <w:pStyle w:val="ListParagraph"/>
        <w:numPr>
          <w:ilvl w:val="0"/>
          <w:numId w:val="2"/>
        </w:numPr>
        <w:spacing w:after="0" w:line="240" w:lineRule="auto"/>
        <w:ind w:left="450" w:hanging="450"/>
        <w:contextualSpacing w:val="0"/>
        <w:jc w:val="both"/>
        <w:rPr>
          <w:rFonts w:ascii="Times New Roman" w:hAnsi="Times New Roman"/>
          <w:szCs w:val="24"/>
          <w:lang w:val="en-GB"/>
        </w:rPr>
      </w:pPr>
      <w:r w:rsidRPr="00157C31">
        <w:rPr>
          <w:rFonts w:ascii="Times New Roman" w:hAnsi="Times New Roman"/>
          <w:szCs w:val="24"/>
          <w:lang w:val="en-GB"/>
        </w:rPr>
        <w:t>Evidence of Nigeria Social Insurance Trust Fund</w:t>
      </w:r>
      <w:r w:rsidR="00157C31">
        <w:rPr>
          <w:rFonts w:ascii="Times New Roman" w:hAnsi="Times New Roman"/>
          <w:szCs w:val="24"/>
          <w:lang w:val="en-GB"/>
        </w:rPr>
        <w:t xml:space="preserve"> </w:t>
      </w:r>
      <w:r w:rsidRPr="00157C31">
        <w:rPr>
          <w:rFonts w:ascii="Times New Roman" w:hAnsi="Times New Roman"/>
          <w:szCs w:val="24"/>
          <w:lang w:val="en-GB"/>
        </w:rPr>
        <w:t>(NSITF) C</w:t>
      </w:r>
      <w:r w:rsidR="00157C31">
        <w:rPr>
          <w:rFonts w:ascii="Times New Roman" w:hAnsi="Times New Roman"/>
          <w:szCs w:val="24"/>
          <w:lang w:val="en-GB"/>
        </w:rPr>
        <w:t>learance</w:t>
      </w:r>
      <w:r w:rsidRPr="00157C31">
        <w:rPr>
          <w:rFonts w:ascii="Times New Roman" w:hAnsi="Times New Roman"/>
          <w:szCs w:val="24"/>
          <w:lang w:val="en-GB"/>
        </w:rPr>
        <w:t xml:space="preserve"> Certificate valid till 31</w:t>
      </w:r>
      <w:r w:rsidRPr="00157C31">
        <w:rPr>
          <w:rFonts w:ascii="Times New Roman" w:hAnsi="Times New Roman"/>
          <w:szCs w:val="24"/>
          <w:vertAlign w:val="superscript"/>
          <w:lang w:val="en-GB"/>
        </w:rPr>
        <w:t>st</w:t>
      </w:r>
      <w:r w:rsidRPr="00157C31">
        <w:rPr>
          <w:rFonts w:ascii="Times New Roman" w:hAnsi="Times New Roman"/>
          <w:szCs w:val="24"/>
          <w:lang w:val="en-GB"/>
        </w:rPr>
        <w:t xml:space="preserve"> December, 2022;</w:t>
      </w:r>
    </w:p>
    <w:p w14:paraId="7745C5E2" w14:textId="77777777" w:rsidR="00016BC7" w:rsidRPr="00157C31" w:rsidRDefault="00016BC7" w:rsidP="00157C31">
      <w:pPr>
        <w:pStyle w:val="ListParagraph"/>
        <w:numPr>
          <w:ilvl w:val="0"/>
          <w:numId w:val="2"/>
        </w:numPr>
        <w:spacing w:after="0" w:line="240" w:lineRule="auto"/>
        <w:ind w:left="450" w:hanging="450"/>
        <w:contextualSpacing w:val="0"/>
        <w:jc w:val="both"/>
        <w:rPr>
          <w:rFonts w:ascii="Times New Roman" w:hAnsi="Times New Roman"/>
          <w:szCs w:val="24"/>
          <w:lang w:val="en-GB"/>
        </w:rPr>
      </w:pPr>
      <w:r w:rsidRPr="00157C31">
        <w:rPr>
          <w:rFonts w:ascii="Times New Roman" w:hAnsi="Times New Roman"/>
          <w:szCs w:val="24"/>
          <w:lang w:val="en-GB"/>
        </w:rPr>
        <w:lastRenderedPageBreak/>
        <w:t>Evidence of Registration on the National Database of Federal Contractors, Consultants and Service Providers by submission of Interim Registration Report (IRR) expiring on 31/12/2022 or valid Certificate issued by the BPP;</w:t>
      </w:r>
    </w:p>
    <w:p w14:paraId="4AC56065" w14:textId="77777777" w:rsidR="00016BC7" w:rsidRPr="00157C31" w:rsidRDefault="00016BC7" w:rsidP="00157C31">
      <w:pPr>
        <w:pStyle w:val="ListParagraph"/>
        <w:numPr>
          <w:ilvl w:val="0"/>
          <w:numId w:val="2"/>
        </w:numPr>
        <w:spacing w:after="0" w:line="240" w:lineRule="auto"/>
        <w:ind w:left="450" w:hanging="450"/>
        <w:contextualSpacing w:val="0"/>
        <w:jc w:val="both"/>
        <w:rPr>
          <w:rFonts w:ascii="Times New Roman" w:hAnsi="Times New Roman"/>
          <w:szCs w:val="24"/>
          <w:lang w:val="en-GB"/>
        </w:rPr>
      </w:pPr>
      <w:r w:rsidRPr="00157C31">
        <w:rPr>
          <w:rFonts w:ascii="Times New Roman" w:hAnsi="Times New Roman"/>
          <w:szCs w:val="24"/>
          <w:lang w:val="en-GB"/>
        </w:rPr>
        <w:t>Sworn Affidavit:</w:t>
      </w:r>
    </w:p>
    <w:p w14:paraId="110FCEBF" w14:textId="77777777" w:rsidR="00016BC7" w:rsidRPr="00157C31" w:rsidRDefault="00016BC7" w:rsidP="00157C31">
      <w:pPr>
        <w:pStyle w:val="ListParagraph"/>
        <w:spacing w:after="0" w:line="240" w:lineRule="auto"/>
        <w:ind w:left="0"/>
        <w:contextualSpacing w:val="0"/>
        <w:jc w:val="both"/>
        <w:rPr>
          <w:rFonts w:ascii="Times New Roman" w:hAnsi="Times New Roman"/>
          <w:szCs w:val="24"/>
          <w:lang w:val="en-GB"/>
        </w:rPr>
      </w:pPr>
      <w:r w:rsidRPr="00157C31">
        <w:rPr>
          <w:rFonts w:ascii="Times New Roman" w:hAnsi="Times New Roman"/>
          <w:szCs w:val="24"/>
          <w:lang w:val="en-GB"/>
        </w:rPr>
        <w:t>- disclosing whether or not any officer of the relevant committees of the National Oil Spill Detection and Response Agency (NOSDRA) or the Bureau of Public Procurement (BPP) is a former or present Director, shareholder or has any pecuniary interest in the bidder and to confirm that all information presented in its bid are true and correct in all particulars;</w:t>
      </w:r>
    </w:p>
    <w:p w14:paraId="267B36E0" w14:textId="77777777" w:rsidR="00016BC7" w:rsidRPr="00157C31" w:rsidRDefault="00016BC7" w:rsidP="00157C31">
      <w:pPr>
        <w:pStyle w:val="ListParagraph"/>
        <w:spacing w:after="0" w:line="240" w:lineRule="auto"/>
        <w:ind w:left="0"/>
        <w:contextualSpacing w:val="0"/>
        <w:jc w:val="both"/>
        <w:rPr>
          <w:rFonts w:ascii="Times New Roman" w:hAnsi="Times New Roman"/>
          <w:szCs w:val="24"/>
          <w:lang w:val="en-GB"/>
        </w:rPr>
      </w:pPr>
      <w:r w:rsidRPr="00157C31">
        <w:rPr>
          <w:rFonts w:ascii="Times New Roman" w:hAnsi="Times New Roman"/>
          <w:szCs w:val="24"/>
          <w:lang w:val="en-GB"/>
        </w:rPr>
        <w:t>- that none of the company’s Directors has been convicted in any law court for any criminal offence including fraud and financial impropriety: and</w:t>
      </w:r>
    </w:p>
    <w:p w14:paraId="5FF4FFC5" w14:textId="77777777" w:rsidR="00016BC7" w:rsidRPr="00157C31" w:rsidRDefault="00016BC7" w:rsidP="00157C31">
      <w:pPr>
        <w:pStyle w:val="ListParagraph"/>
        <w:spacing w:after="0" w:line="240" w:lineRule="auto"/>
        <w:ind w:left="0"/>
        <w:contextualSpacing w:val="0"/>
        <w:jc w:val="both"/>
        <w:rPr>
          <w:rFonts w:ascii="Times New Roman" w:hAnsi="Times New Roman"/>
          <w:szCs w:val="24"/>
          <w:lang w:val="en-GB"/>
        </w:rPr>
      </w:pPr>
      <w:r w:rsidRPr="00157C31">
        <w:rPr>
          <w:rFonts w:ascii="Times New Roman" w:hAnsi="Times New Roman"/>
          <w:szCs w:val="24"/>
          <w:lang w:val="en-GB"/>
        </w:rPr>
        <w:t xml:space="preserve">- that </w:t>
      </w:r>
      <w:r w:rsidR="00157C31" w:rsidRPr="00157C31">
        <w:rPr>
          <w:rFonts w:ascii="Times New Roman" w:hAnsi="Times New Roman"/>
          <w:szCs w:val="24"/>
          <w:lang w:val="en-GB"/>
        </w:rPr>
        <w:t>the company</w:t>
      </w:r>
      <w:r w:rsidRPr="00157C31">
        <w:rPr>
          <w:rFonts w:ascii="Times New Roman" w:hAnsi="Times New Roman"/>
          <w:szCs w:val="24"/>
          <w:lang w:val="en-GB"/>
        </w:rPr>
        <w:t xml:space="preserve"> is not in receivership, bankrupt or insolvent;</w:t>
      </w:r>
    </w:p>
    <w:p w14:paraId="550524F2" w14:textId="77777777" w:rsidR="00016BC7" w:rsidRPr="00157C31" w:rsidRDefault="00157C31" w:rsidP="00157C31">
      <w:pPr>
        <w:pStyle w:val="ListParagraph"/>
        <w:numPr>
          <w:ilvl w:val="0"/>
          <w:numId w:val="2"/>
        </w:numPr>
        <w:spacing w:after="0" w:line="240" w:lineRule="auto"/>
        <w:ind w:left="450" w:hanging="450"/>
        <w:contextualSpacing w:val="0"/>
        <w:jc w:val="both"/>
        <w:rPr>
          <w:rFonts w:ascii="Times New Roman" w:hAnsi="Times New Roman"/>
          <w:lang w:val="en-GB"/>
        </w:rPr>
      </w:pPr>
      <w:r w:rsidRPr="00157C31">
        <w:rPr>
          <w:rFonts w:ascii="Times New Roman" w:hAnsi="Times New Roman"/>
          <w:lang w:val="en-GB"/>
        </w:rPr>
        <w:t>Company’s Audited Accounts for the last three (3) years - 2019, 2020 &amp; 2021, duly acknowledged by the Federal Inland Revenue Service (FIRS)</w:t>
      </w:r>
      <w:r w:rsidR="00016BC7" w:rsidRPr="00157C31">
        <w:rPr>
          <w:rFonts w:ascii="Times New Roman" w:hAnsi="Times New Roman"/>
          <w:lang w:val="en-GB"/>
        </w:rPr>
        <w:t xml:space="preserve">: </w:t>
      </w:r>
    </w:p>
    <w:p w14:paraId="416745D6" w14:textId="77777777" w:rsidR="00016BC7" w:rsidRPr="00157C31" w:rsidRDefault="00016BC7" w:rsidP="00157C31">
      <w:pPr>
        <w:pStyle w:val="ListParagraph"/>
        <w:numPr>
          <w:ilvl w:val="0"/>
          <w:numId w:val="2"/>
        </w:numPr>
        <w:spacing w:after="0" w:line="240" w:lineRule="auto"/>
        <w:ind w:left="450" w:hanging="450"/>
        <w:contextualSpacing w:val="0"/>
        <w:jc w:val="both"/>
        <w:rPr>
          <w:rFonts w:ascii="Times New Roman" w:hAnsi="Times New Roman"/>
          <w:lang w:val="en-GB"/>
        </w:rPr>
      </w:pPr>
      <w:r w:rsidRPr="00157C31">
        <w:rPr>
          <w:rFonts w:ascii="Times New Roman" w:hAnsi="Times New Roman"/>
          <w:lang w:val="en-GB"/>
        </w:rPr>
        <w:t>Reference</w:t>
      </w:r>
      <w:r w:rsidR="00157C31">
        <w:rPr>
          <w:rFonts w:ascii="Times New Roman" w:hAnsi="Times New Roman"/>
          <w:lang w:val="en-GB"/>
        </w:rPr>
        <w:t xml:space="preserve"> </w:t>
      </w:r>
      <w:r w:rsidRPr="00157C31">
        <w:rPr>
          <w:rFonts w:ascii="Times New Roman" w:hAnsi="Times New Roman"/>
          <w:lang w:val="en-GB"/>
        </w:rPr>
        <w:t>Letter from a reputable Commercial Bank in Nigeria, indicating willingness to provide credit facility for the execution of the project when needed;</w:t>
      </w:r>
    </w:p>
    <w:p w14:paraId="31EEE821" w14:textId="77777777" w:rsidR="00016BC7" w:rsidRPr="00157C31" w:rsidRDefault="00016BC7" w:rsidP="00157C31">
      <w:pPr>
        <w:pStyle w:val="ListParagraph"/>
        <w:numPr>
          <w:ilvl w:val="0"/>
          <w:numId w:val="2"/>
        </w:numPr>
        <w:spacing w:after="0" w:line="240" w:lineRule="auto"/>
        <w:ind w:left="450" w:hanging="450"/>
        <w:contextualSpacing w:val="0"/>
        <w:jc w:val="both"/>
        <w:rPr>
          <w:rFonts w:ascii="Times New Roman" w:hAnsi="Times New Roman"/>
          <w:szCs w:val="24"/>
          <w:lang w:val="en-GB"/>
        </w:rPr>
      </w:pPr>
      <w:r w:rsidRPr="00157C31">
        <w:rPr>
          <w:rFonts w:ascii="Times New Roman" w:hAnsi="Times New Roman"/>
          <w:szCs w:val="24"/>
          <w:lang w:val="en-GB"/>
        </w:rPr>
        <w:t xml:space="preserve">Company Profile with the Curriculum Vitae of Key Staff to be deployed for the Project, including copies of their Academic/Professional qualifications; </w:t>
      </w:r>
    </w:p>
    <w:p w14:paraId="354BF51C" w14:textId="77777777" w:rsidR="00016BC7" w:rsidRPr="00157C31" w:rsidRDefault="00016BC7" w:rsidP="00157C31">
      <w:pPr>
        <w:pStyle w:val="ListParagraph"/>
        <w:numPr>
          <w:ilvl w:val="0"/>
          <w:numId w:val="2"/>
        </w:numPr>
        <w:spacing w:after="0" w:line="240" w:lineRule="auto"/>
        <w:ind w:left="450" w:hanging="450"/>
        <w:contextualSpacing w:val="0"/>
        <w:jc w:val="both"/>
        <w:rPr>
          <w:rFonts w:ascii="Times New Roman" w:hAnsi="Times New Roman"/>
          <w:szCs w:val="24"/>
          <w:lang w:val="en-GB"/>
        </w:rPr>
      </w:pPr>
      <w:r w:rsidRPr="00157C31">
        <w:rPr>
          <w:rFonts w:ascii="Times New Roman" w:hAnsi="Times New Roman"/>
          <w:szCs w:val="24"/>
          <w:lang w:val="en-GB"/>
        </w:rPr>
        <w:t>Verifiable documentary evidence of at least Three (3) similar Jobs executed in the last Five (5) years includ</w:t>
      </w:r>
      <w:r w:rsidR="00157C31">
        <w:rPr>
          <w:rFonts w:ascii="Times New Roman" w:hAnsi="Times New Roman"/>
          <w:szCs w:val="24"/>
          <w:lang w:val="en-GB"/>
        </w:rPr>
        <w:t xml:space="preserve">ing copies of Letters of Award, </w:t>
      </w:r>
      <w:r w:rsidRPr="00157C31">
        <w:rPr>
          <w:rFonts w:ascii="Times New Roman" w:hAnsi="Times New Roman"/>
          <w:szCs w:val="24"/>
          <w:lang w:val="en-GB"/>
        </w:rPr>
        <w:t>Job Completion Certificate and photographs of the projects;</w:t>
      </w:r>
    </w:p>
    <w:p w14:paraId="3E06F2B6" w14:textId="77777777" w:rsidR="00016BC7" w:rsidRPr="00157C31" w:rsidRDefault="00016BC7" w:rsidP="00157C31">
      <w:pPr>
        <w:pStyle w:val="ListParagraph"/>
        <w:numPr>
          <w:ilvl w:val="0"/>
          <w:numId w:val="2"/>
        </w:numPr>
        <w:spacing w:after="0" w:line="240" w:lineRule="auto"/>
        <w:ind w:left="450" w:hanging="450"/>
        <w:contextualSpacing w:val="0"/>
        <w:jc w:val="both"/>
        <w:rPr>
          <w:rFonts w:ascii="Times New Roman" w:hAnsi="Times New Roman"/>
          <w:lang w:val="en-GB"/>
        </w:rPr>
      </w:pPr>
      <w:r w:rsidRPr="00157C31">
        <w:rPr>
          <w:rFonts w:ascii="Times New Roman" w:hAnsi="Times New Roman"/>
          <w:lang w:val="en-GB"/>
        </w:rPr>
        <w:t>For</w:t>
      </w:r>
      <w:r w:rsidR="00157C31">
        <w:rPr>
          <w:rFonts w:ascii="Times New Roman" w:hAnsi="Times New Roman"/>
          <w:lang w:val="en-GB"/>
        </w:rPr>
        <w:t xml:space="preserve"> </w:t>
      </w:r>
      <w:r w:rsidRPr="00157C31">
        <w:rPr>
          <w:rFonts w:ascii="Times New Roman" w:hAnsi="Times New Roman"/>
          <w:lang w:val="en-GB"/>
        </w:rPr>
        <w:t xml:space="preserve">Supply </w:t>
      </w:r>
      <w:r w:rsidR="00157C31">
        <w:rPr>
          <w:rFonts w:ascii="Times New Roman" w:hAnsi="Times New Roman"/>
          <w:lang w:val="en-GB"/>
        </w:rPr>
        <w:t>or Equipment: Letter of Authoris</w:t>
      </w:r>
      <w:r w:rsidRPr="00157C31">
        <w:rPr>
          <w:rFonts w:ascii="Times New Roman" w:hAnsi="Times New Roman"/>
          <w:lang w:val="en-GB"/>
        </w:rPr>
        <w:t>ation as representative of the Original Equipment Manufacturers (OEMs);</w:t>
      </w:r>
    </w:p>
    <w:p w14:paraId="2B9A0B28" w14:textId="77777777" w:rsidR="00016BC7" w:rsidRPr="00157C31" w:rsidRDefault="005B0B54" w:rsidP="00157C31">
      <w:pPr>
        <w:pStyle w:val="ListParagraph"/>
        <w:numPr>
          <w:ilvl w:val="0"/>
          <w:numId w:val="2"/>
        </w:numPr>
        <w:spacing w:after="0" w:line="240" w:lineRule="auto"/>
        <w:ind w:left="450" w:hanging="450"/>
        <w:contextualSpacing w:val="0"/>
        <w:jc w:val="both"/>
        <w:rPr>
          <w:rFonts w:ascii="Times New Roman" w:hAnsi="Times New Roman"/>
          <w:lang w:val="en-GB"/>
        </w:rPr>
      </w:pPr>
      <w:r>
        <w:rPr>
          <w:rFonts w:ascii="Times New Roman" w:hAnsi="Times New Roman"/>
          <w:lang w:val="en-GB"/>
        </w:rPr>
        <w:t>Services</w:t>
      </w:r>
      <w:r w:rsidR="00016BC7" w:rsidRPr="00157C31">
        <w:rPr>
          <w:rFonts w:ascii="Times New Roman" w:hAnsi="Times New Roman"/>
          <w:lang w:val="en-GB"/>
        </w:rPr>
        <w:t xml:space="preserve">: </w:t>
      </w:r>
      <w:r>
        <w:rPr>
          <w:rFonts w:ascii="Times New Roman" w:hAnsi="Times New Roman"/>
          <w:lang w:val="en-GB"/>
        </w:rPr>
        <w:t>Evidence of Firm’s current registration with relevant regulatory professional body(</w:t>
      </w:r>
      <w:proofErr w:type="spellStart"/>
      <w:r>
        <w:rPr>
          <w:rFonts w:ascii="Times New Roman" w:hAnsi="Times New Roman"/>
          <w:lang w:val="en-GB"/>
        </w:rPr>
        <w:t>ies</w:t>
      </w:r>
      <w:proofErr w:type="spellEnd"/>
      <w:r>
        <w:rPr>
          <w:rFonts w:ascii="Times New Roman" w:hAnsi="Times New Roman"/>
          <w:lang w:val="en-GB"/>
        </w:rPr>
        <w:t>) as e</w:t>
      </w:r>
      <w:r w:rsidR="00016BC7" w:rsidRPr="00157C31">
        <w:rPr>
          <w:rFonts w:ascii="Times New Roman" w:hAnsi="Times New Roman"/>
          <w:lang w:val="en-GB"/>
        </w:rPr>
        <w:t xml:space="preserve">vidence of current registration/accreditation with Computer Professionals Registration Council of Nigeria and National </w:t>
      </w:r>
      <w:r w:rsidR="00016BC7" w:rsidRPr="00157C31">
        <w:rPr>
          <w:rFonts w:ascii="Times New Roman" w:hAnsi="Times New Roman"/>
          <w:lang w:val="en-GB"/>
        </w:rPr>
        <w:t>Information Technology Development Agency (NITDA)</w:t>
      </w:r>
      <w:r>
        <w:rPr>
          <w:rFonts w:ascii="Times New Roman" w:hAnsi="Times New Roman"/>
          <w:lang w:val="en-GB"/>
        </w:rPr>
        <w:t xml:space="preserve"> for ICT jobs</w:t>
      </w:r>
      <w:r w:rsidR="00016BC7" w:rsidRPr="00157C31">
        <w:rPr>
          <w:rFonts w:ascii="Times New Roman" w:hAnsi="Times New Roman"/>
          <w:lang w:val="en-GB"/>
        </w:rPr>
        <w:t>;</w:t>
      </w:r>
    </w:p>
    <w:p w14:paraId="4FAACB9B" w14:textId="77777777" w:rsidR="005B0B54" w:rsidRPr="005B0B54" w:rsidRDefault="005B0B54" w:rsidP="00157C31">
      <w:pPr>
        <w:pStyle w:val="ListParagraph"/>
        <w:numPr>
          <w:ilvl w:val="0"/>
          <w:numId w:val="2"/>
        </w:numPr>
        <w:spacing w:after="0" w:line="240" w:lineRule="auto"/>
        <w:ind w:left="450" w:hanging="450"/>
        <w:contextualSpacing w:val="0"/>
        <w:jc w:val="both"/>
        <w:rPr>
          <w:rFonts w:ascii="Times New Roman" w:hAnsi="Times New Roman"/>
          <w:lang w:val="en-GB"/>
        </w:rPr>
      </w:pPr>
      <w:r w:rsidRPr="005B0B54">
        <w:rPr>
          <w:rFonts w:ascii="Times New Roman" w:hAnsi="Times New Roman"/>
          <w:lang w:val="en-GB"/>
        </w:rPr>
        <w:t>Works: List of Plants/Equipment with proof of Ownership/Lease Agreement;</w:t>
      </w:r>
    </w:p>
    <w:p w14:paraId="6651DD7C" w14:textId="77777777" w:rsidR="00016BC7" w:rsidRPr="00157C31" w:rsidRDefault="00016BC7" w:rsidP="00157C31">
      <w:pPr>
        <w:pStyle w:val="ListParagraph"/>
        <w:numPr>
          <w:ilvl w:val="0"/>
          <w:numId w:val="2"/>
        </w:numPr>
        <w:spacing w:after="0" w:line="240" w:lineRule="auto"/>
        <w:ind w:left="450" w:hanging="450"/>
        <w:contextualSpacing w:val="0"/>
        <w:jc w:val="both"/>
        <w:rPr>
          <w:rFonts w:ascii="Times New Roman" w:hAnsi="Times New Roman"/>
          <w:lang w:val="en-GB"/>
        </w:rPr>
      </w:pPr>
      <w:r w:rsidRPr="00157C31">
        <w:rPr>
          <w:rFonts w:ascii="Times New Roman" w:hAnsi="Times New Roman"/>
          <w:szCs w:val="24"/>
          <w:lang w:val="en-GB"/>
        </w:rPr>
        <w:t>For Joint Ventures/Partnership, Memorandum of Understanding (MoU) should be provided</w:t>
      </w:r>
      <w:r w:rsidR="00157C31">
        <w:rPr>
          <w:rFonts w:ascii="Times New Roman" w:hAnsi="Times New Roman"/>
          <w:szCs w:val="24"/>
          <w:lang w:val="en-GB"/>
        </w:rPr>
        <w:t xml:space="preserve"> </w:t>
      </w:r>
      <w:r w:rsidRPr="00157C31">
        <w:rPr>
          <w:rFonts w:ascii="Times New Roman" w:hAnsi="Times New Roman"/>
          <w:lang w:val="en-GB"/>
        </w:rPr>
        <w:t>(CAC, Tax Clearance Certificate, Pension Clearance Certificate, NSITF Clearance Certificate, ITF Compliance Certificate, IRR&amp; Sworn Affidavit are compulsory for each JV partner);</w:t>
      </w:r>
    </w:p>
    <w:p w14:paraId="6DAAD8A1" w14:textId="77777777" w:rsidR="00016BC7" w:rsidRDefault="00016BC7" w:rsidP="00157C31">
      <w:pPr>
        <w:pStyle w:val="ListParagraph"/>
        <w:numPr>
          <w:ilvl w:val="0"/>
          <w:numId w:val="2"/>
        </w:numPr>
        <w:spacing w:after="0" w:line="240" w:lineRule="auto"/>
        <w:ind w:left="450" w:hanging="450"/>
        <w:contextualSpacing w:val="0"/>
        <w:jc w:val="both"/>
        <w:rPr>
          <w:rFonts w:ascii="Times New Roman" w:hAnsi="Times New Roman"/>
          <w:szCs w:val="24"/>
          <w:lang w:val="en-GB"/>
        </w:rPr>
      </w:pPr>
      <w:r w:rsidRPr="00157C31">
        <w:rPr>
          <w:rFonts w:ascii="Times New Roman" w:hAnsi="Times New Roman"/>
          <w:szCs w:val="24"/>
          <w:lang w:val="en-GB"/>
        </w:rPr>
        <w:t>All documents for submission must be transmitted with Covering/Forwarding letter under the Company Letter Head Paper bearing among others, the Registration Number (RC) as issued by the Corporate Affairs Commission (</w:t>
      </w:r>
      <w:smartTag w:uri="urn:schemas-microsoft-com:office:smarttags" w:element="stockticker">
        <w:r w:rsidRPr="00157C31">
          <w:rPr>
            <w:rFonts w:ascii="Times New Roman" w:hAnsi="Times New Roman"/>
            <w:szCs w:val="24"/>
            <w:lang w:val="en-GB"/>
          </w:rPr>
          <w:t>CAC</w:t>
        </w:r>
      </w:smartTag>
      <w:r w:rsidRPr="00157C31">
        <w:rPr>
          <w:rFonts w:ascii="Times New Roman" w:hAnsi="Times New Roman"/>
          <w:szCs w:val="24"/>
          <w:lang w:val="en-GB"/>
        </w:rPr>
        <w:t>), Contact Address, Telephone Numbers (preferably GSM No.), and e-mail address.  The Letterhead paper must bear the names and nationalities of the Directors of the Company at the bottom of the page, duly signed by the authorized officer of the firm.</w:t>
      </w:r>
    </w:p>
    <w:p w14:paraId="4E45789F" w14:textId="77777777" w:rsidR="005B0B54" w:rsidRPr="00157C31" w:rsidRDefault="005B0B54" w:rsidP="005B0B54">
      <w:pPr>
        <w:pStyle w:val="ListParagraph"/>
        <w:spacing w:after="0" w:line="240" w:lineRule="auto"/>
        <w:ind w:left="450"/>
        <w:contextualSpacing w:val="0"/>
        <w:jc w:val="both"/>
        <w:rPr>
          <w:rFonts w:ascii="Times New Roman" w:hAnsi="Times New Roman"/>
          <w:szCs w:val="24"/>
          <w:lang w:val="en-GB"/>
        </w:rPr>
      </w:pPr>
    </w:p>
    <w:p w14:paraId="5A314766" w14:textId="77777777" w:rsidR="00016BC7" w:rsidRPr="00157C31" w:rsidRDefault="00016BC7" w:rsidP="00157C31">
      <w:pPr>
        <w:ind w:left="720" w:hanging="720"/>
        <w:jc w:val="both"/>
        <w:rPr>
          <w:b/>
          <w:sz w:val="22"/>
          <w:lang w:val="en-GB"/>
        </w:rPr>
      </w:pPr>
      <w:r w:rsidRPr="00157C31">
        <w:rPr>
          <w:b/>
          <w:sz w:val="22"/>
          <w:lang w:val="en-GB"/>
        </w:rPr>
        <w:t>4.0</w:t>
      </w:r>
      <w:r w:rsidRPr="00157C31">
        <w:rPr>
          <w:sz w:val="22"/>
          <w:lang w:val="en-GB"/>
        </w:rPr>
        <w:tab/>
      </w:r>
      <w:r w:rsidRPr="00157C31">
        <w:rPr>
          <w:b/>
          <w:sz w:val="22"/>
          <w:lang w:val="en-GB"/>
        </w:rPr>
        <w:t>COLLECTION OF TENDER DOCUMENTS</w:t>
      </w:r>
      <w:r w:rsidR="005B0B54">
        <w:rPr>
          <w:b/>
          <w:sz w:val="22"/>
          <w:lang w:val="en-GB"/>
        </w:rPr>
        <w:t xml:space="preserve"> (GOODS &amp; WORKS)</w:t>
      </w:r>
    </w:p>
    <w:p w14:paraId="2F8CF384" w14:textId="77777777" w:rsidR="00016BC7" w:rsidRPr="00157C31" w:rsidRDefault="00016BC7" w:rsidP="00157C31">
      <w:pPr>
        <w:jc w:val="both"/>
        <w:rPr>
          <w:lang w:val="en-GB"/>
        </w:rPr>
      </w:pPr>
      <w:r w:rsidRPr="00157C31">
        <w:rPr>
          <w:lang w:val="en-GB"/>
        </w:rPr>
        <w:t xml:space="preserve">Interested Companies are to collect the Standard Bidding Document (SBD) from the </w:t>
      </w:r>
      <w:r w:rsidRPr="00157C31">
        <w:rPr>
          <w:b/>
          <w:lang w:val="en-GB"/>
        </w:rPr>
        <w:t>Procurement Unit, Right Wing 5</w:t>
      </w:r>
      <w:r w:rsidRPr="00157C31">
        <w:rPr>
          <w:b/>
          <w:vertAlign w:val="superscript"/>
          <w:lang w:val="en-GB"/>
        </w:rPr>
        <w:t>th</w:t>
      </w:r>
      <w:r w:rsidRPr="00157C31">
        <w:rPr>
          <w:b/>
          <w:lang w:val="en-GB"/>
        </w:rPr>
        <w:t xml:space="preserve"> Floor of the National Oil Spill Detection and Response Agency (NOSDRA), Abuja </w:t>
      </w:r>
      <w:r w:rsidRPr="00157C31">
        <w:rPr>
          <w:lang w:val="en-GB"/>
        </w:rPr>
        <w:t xml:space="preserve">on evidence of payment of a Non-Refundable Tender Fee of </w:t>
      </w:r>
      <w:r w:rsidRPr="00157C31">
        <w:rPr>
          <w:b/>
          <w:lang w:val="en-GB"/>
        </w:rPr>
        <w:t>Ten Thousand Naira (</w:t>
      </w:r>
      <w:r w:rsidRPr="001046E8">
        <w:rPr>
          <w:b/>
          <w:dstrike/>
          <w:lang w:val="en-GB"/>
        </w:rPr>
        <w:t>N</w:t>
      </w:r>
      <w:r w:rsidR="001B78DC">
        <w:rPr>
          <w:b/>
          <w:lang w:val="en-GB"/>
        </w:rPr>
        <w:t>10,</w:t>
      </w:r>
      <w:r w:rsidRPr="00157C31">
        <w:rPr>
          <w:b/>
          <w:lang w:val="en-GB"/>
        </w:rPr>
        <w:t>000.00)</w:t>
      </w:r>
      <w:r w:rsidRPr="00157C31">
        <w:rPr>
          <w:lang w:val="en-GB"/>
        </w:rPr>
        <w:t xml:space="preserve"> only per Lot, paid into the NOSDRA, Abuja Remita Account in any </w:t>
      </w:r>
      <w:r w:rsidR="001046E8">
        <w:rPr>
          <w:lang w:val="en-GB"/>
        </w:rPr>
        <w:t xml:space="preserve">reputable </w:t>
      </w:r>
      <w:r w:rsidRPr="00157C31">
        <w:rPr>
          <w:lang w:val="en-GB"/>
        </w:rPr>
        <w:t>Commercial Bank</w:t>
      </w:r>
      <w:r w:rsidR="001046E8">
        <w:rPr>
          <w:lang w:val="en-GB"/>
        </w:rPr>
        <w:t xml:space="preserve"> in Nigeria</w:t>
      </w:r>
      <w:r w:rsidRPr="00157C31">
        <w:rPr>
          <w:lang w:val="en-GB"/>
        </w:rPr>
        <w:t xml:space="preserve">, using GIFMIS Code: </w:t>
      </w:r>
      <w:r w:rsidRPr="00157C31">
        <w:rPr>
          <w:b/>
          <w:lang w:val="en-GB"/>
        </w:rPr>
        <w:t>1000016734.</w:t>
      </w:r>
    </w:p>
    <w:p w14:paraId="4D66D22A" w14:textId="77777777" w:rsidR="00016BC7" w:rsidRPr="00157C31" w:rsidRDefault="00016BC7" w:rsidP="00157C31">
      <w:pPr>
        <w:jc w:val="both"/>
        <w:rPr>
          <w:lang w:val="en-GB"/>
        </w:rPr>
      </w:pPr>
      <w:r w:rsidRPr="00157C31">
        <w:rPr>
          <w:lang w:val="en-GB"/>
        </w:rPr>
        <w:t xml:space="preserve">All bidders must fill the bid collection Register after the </w:t>
      </w:r>
      <w:r w:rsidR="00FB3B4A" w:rsidRPr="00157C31">
        <w:rPr>
          <w:lang w:val="en-GB"/>
        </w:rPr>
        <w:t>c</w:t>
      </w:r>
      <w:r w:rsidRPr="00157C31">
        <w:rPr>
          <w:lang w:val="en-GB"/>
        </w:rPr>
        <w:t>ollection of the Bidding Document.</w:t>
      </w:r>
    </w:p>
    <w:p w14:paraId="7C996C79" w14:textId="77777777" w:rsidR="00016BC7" w:rsidRPr="009435B1" w:rsidRDefault="00016BC7" w:rsidP="009435B1">
      <w:pPr>
        <w:jc w:val="both"/>
        <w:rPr>
          <w:lang w:val="en-GB"/>
        </w:rPr>
      </w:pPr>
    </w:p>
    <w:p w14:paraId="24E34848" w14:textId="77777777" w:rsidR="00016BC7" w:rsidRPr="00157C31" w:rsidRDefault="00016BC7" w:rsidP="00157C31">
      <w:pPr>
        <w:jc w:val="both"/>
        <w:rPr>
          <w:b/>
          <w:sz w:val="22"/>
          <w:lang w:val="en-GB"/>
        </w:rPr>
      </w:pPr>
      <w:r w:rsidRPr="00157C31">
        <w:rPr>
          <w:b/>
          <w:sz w:val="22"/>
          <w:lang w:val="en-GB"/>
        </w:rPr>
        <w:t xml:space="preserve">5.0 </w:t>
      </w:r>
      <w:r w:rsidRPr="00157C31">
        <w:rPr>
          <w:b/>
          <w:sz w:val="22"/>
          <w:lang w:val="en-GB"/>
        </w:rPr>
        <w:tab/>
        <w:t>SUBMISSION OF BID DOCUMENT</w:t>
      </w:r>
      <w:r w:rsidR="007515B7">
        <w:rPr>
          <w:b/>
          <w:sz w:val="22"/>
          <w:lang w:val="en-GB"/>
        </w:rPr>
        <w:t>S</w:t>
      </w:r>
      <w:r w:rsidR="001D00B2">
        <w:rPr>
          <w:b/>
          <w:sz w:val="22"/>
          <w:lang w:val="en-GB"/>
        </w:rPr>
        <w:t xml:space="preserve"> (GOODS &amp; WORKS)</w:t>
      </w:r>
    </w:p>
    <w:p w14:paraId="3E58C268" w14:textId="77777777" w:rsidR="00016BC7" w:rsidRPr="005264E8" w:rsidRDefault="00016BC7" w:rsidP="00157C31">
      <w:pPr>
        <w:pStyle w:val="NoSpacing"/>
        <w:jc w:val="both"/>
        <w:rPr>
          <w:rFonts w:ascii="Times New Roman" w:hAnsi="Times New Roman"/>
          <w:szCs w:val="24"/>
          <w:lang w:val="en-GB"/>
        </w:rPr>
      </w:pPr>
      <w:r w:rsidRPr="00157C31">
        <w:rPr>
          <w:rFonts w:ascii="Times New Roman" w:hAnsi="Times New Roman"/>
          <w:szCs w:val="24"/>
          <w:lang w:val="en-GB"/>
        </w:rPr>
        <w:t xml:space="preserve">Prospective bidders are to submit bid for each of the lot desired, one (1) Hard Copy each of </w:t>
      </w:r>
      <w:r w:rsidRPr="00157C31">
        <w:rPr>
          <w:rFonts w:ascii="Times New Roman" w:hAnsi="Times New Roman"/>
          <w:szCs w:val="24"/>
          <w:lang w:val="en-GB"/>
        </w:rPr>
        <w:lastRenderedPageBreak/>
        <w:t>the Technical and Financial Bids with softcopy of financial bid only in MS Excel format, packaged separately in sealed envelopes and clearly marked as “Technical Bid” or “Financial Bid”.  Thereafter, put the sealed envelope together in a bigger sealed envelope addressed to the Director-General/CEO, NOSDRA NAIC House, 5</w:t>
      </w:r>
      <w:r w:rsidRPr="00157C31">
        <w:rPr>
          <w:rFonts w:ascii="Times New Roman" w:hAnsi="Times New Roman"/>
          <w:szCs w:val="24"/>
          <w:vertAlign w:val="superscript"/>
          <w:lang w:val="en-GB"/>
        </w:rPr>
        <w:t>th</w:t>
      </w:r>
      <w:r w:rsidRPr="00157C31">
        <w:rPr>
          <w:rFonts w:ascii="Times New Roman" w:hAnsi="Times New Roman"/>
          <w:szCs w:val="24"/>
          <w:lang w:val="en-GB"/>
        </w:rPr>
        <w:t xml:space="preserve"> Floor, Plot 590, Zone AO, Central Business District, Abuja and clearly marked with “PROJECT NAME </w:t>
      </w:r>
      <w:r w:rsidR="005264E8">
        <w:rPr>
          <w:rFonts w:ascii="Times New Roman" w:hAnsi="Times New Roman"/>
          <w:szCs w:val="24"/>
          <w:lang w:val="en-GB"/>
        </w:rPr>
        <w:t>&amp;</w:t>
      </w:r>
      <w:r w:rsidRPr="00157C31">
        <w:rPr>
          <w:rFonts w:ascii="Times New Roman" w:hAnsi="Times New Roman"/>
          <w:szCs w:val="24"/>
          <w:lang w:val="en-GB"/>
        </w:rPr>
        <w:t xml:space="preserve"> LOT No.” Furthermore, the reverse of each sealed envelope should </w:t>
      </w:r>
      <w:r w:rsidR="005264E8">
        <w:rPr>
          <w:rFonts w:ascii="Times New Roman" w:hAnsi="Times New Roman"/>
          <w:szCs w:val="24"/>
          <w:lang w:val="en-GB"/>
        </w:rPr>
        <w:t>bear</w:t>
      </w:r>
      <w:r w:rsidRPr="00157C31">
        <w:rPr>
          <w:rFonts w:ascii="Times New Roman" w:hAnsi="Times New Roman"/>
          <w:szCs w:val="24"/>
          <w:lang w:val="en-GB"/>
        </w:rPr>
        <w:t xml:space="preserve"> the name and address of the bidder and drop in the designated Tender Box at Right Wing 5</w:t>
      </w:r>
      <w:r w:rsidRPr="00157C31">
        <w:rPr>
          <w:rFonts w:ascii="Times New Roman" w:hAnsi="Times New Roman"/>
          <w:szCs w:val="24"/>
          <w:vertAlign w:val="superscript"/>
          <w:lang w:val="en-GB"/>
        </w:rPr>
        <w:t>th</w:t>
      </w:r>
      <w:r w:rsidRPr="00157C31">
        <w:rPr>
          <w:rFonts w:ascii="Times New Roman" w:hAnsi="Times New Roman"/>
          <w:szCs w:val="24"/>
          <w:lang w:val="en-GB"/>
        </w:rPr>
        <w:t xml:space="preserve"> Floor of NOSDRA, not later than </w:t>
      </w:r>
      <w:r w:rsidRPr="005264E8">
        <w:rPr>
          <w:rFonts w:ascii="Times New Roman" w:hAnsi="Times New Roman"/>
          <w:b/>
          <w:szCs w:val="24"/>
          <w:lang w:val="en-GB"/>
        </w:rPr>
        <w:t xml:space="preserve">12:00 noon Monday, </w:t>
      </w:r>
      <w:r w:rsidR="005264E8" w:rsidRPr="005264E8">
        <w:rPr>
          <w:rFonts w:ascii="Times New Roman" w:hAnsi="Times New Roman"/>
          <w:b/>
          <w:szCs w:val="24"/>
          <w:lang w:val="en-GB"/>
        </w:rPr>
        <w:t>5</w:t>
      </w:r>
      <w:r w:rsidR="005264E8" w:rsidRPr="005264E8">
        <w:rPr>
          <w:rFonts w:ascii="Times New Roman" w:hAnsi="Times New Roman"/>
          <w:b/>
          <w:szCs w:val="24"/>
          <w:vertAlign w:val="superscript"/>
          <w:lang w:val="en-GB"/>
        </w:rPr>
        <w:t>th</w:t>
      </w:r>
      <w:r w:rsidR="005264E8" w:rsidRPr="005264E8">
        <w:rPr>
          <w:rFonts w:ascii="Times New Roman" w:hAnsi="Times New Roman"/>
          <w:b/>
          <w:szCs w:val="24"/>
          <w:lang w:val="en-GB"/>
        </w:rPr>
        <w:t xml:space="preserve"> September, </w:t>
      </w:r>
      <w:r w:rsidRPr="005264E8">
        <w:rPr>
          <w:rFonts w:ascii="Times New Roman" w:hAnsi="Times New Roman"/>
          <w:b/>
          <w:szCs w:val="24"/>
          <w:lang w:val="en-GB"/>
        </w:rPr>
        <w:t>2022</w:t>
      </w:r>
      <w:r w:rsidRPr="005264E8">
        <w:rPr>
          <w:rFonts w:ascii="Times New Roman" w:hAnsi="Times New Roman"/>
          <w:szCs w:val="24"/>
          <w:lang w:val="en-GB"/>
        </w:rPr>
        <w:t>. All bidders must fill the bid submission Register</w:t>
      </w:r>
      <w:r w:rsidRPr="005264E8">
        <w:rPr>
          <w:rFonts w:ascii="Times New Roman" w:hAnsi="Times New Roman"/>
          <w:b/>
          <w:szCs w:val="24"/>
          <w:lang w:val="en-GB"/>
        </w:rPr>
        <w:t>.</w:t>
      </w:r>
    </w:p>
    <w:p w14:paraId="6E26D7DC" w14:textId="77777777" w:rsidR="00016BC7" w:rsidRDefault="00016BC7" w:rsidP="00157C31">
      <w:pPr>
        <w:tabs>
          <w:tab w:val="left" w:pos="1741"/>
        </w:tabs>
        <w:rPr>
          <w:b/>
          <w:sz w:val="22"/>
          <w:lang w:val="en-GB"/>
        </w:rPr>
      </w:pPr>
    </w:p>
    <w:p w14:paraId="63340915" w14:textId="77777777" w:rsidR="005264E8" w:rsidRDefault="005264E8" w:rsidP="00157C31">
      <w:pPr>
        <w:tabs>
          <w:tab w:val="left" w:pos="1741"/>
        </w:tabs>
        <w:rPr>
          <w:b/>
          <w:sz w:val="22"/>
          <w:lang w:val="en-GB"/>
        </w:rPr>
      </w:pPr>
      <w:r>
        <w:rPr>
          <w:b/>
          <w:sz w:val="22"/>
          <w:lang w:val="en-GB"/>
        </w:rPr>
        <w:t>6.0 SUBMISSION OF EOI (SERVICES)</w:t>
      </w:r>
    </w:p>
    <w:p w14:paraId="5E4D55B3" w14:textId="77777777" w:rsidR="005264E8" w:rsidRPr="005264E8" w:rsidRDefault="005264E8" w:rsidP="00157C31">
      <w:pPr>
        <w:tabs>
          <w:tab w:val="left" w:pos="1741"/>
        </w:tabs>
        <w:rPr>
          <w:sz w:val="22"/>
          <w:lang w:val="en-GB"/>
        </w:rPr>
      </w:pPr>
      <w:r>
        <w:rPr>
          <w:sz w:val="22"/>
          <w:lang w:val="en-GB"/>
        </w:rPr>
        <w:t xml:space="preserve">As per paragraph 5 above, except in a single envelope and submitted not later than </w:t>
      </w:r>
      <w:r w:rsidRPr="005264E8">
        <w:rPr>
          <w:b/>
          <w:sz w:val="22"/>
          <w:lang w:val="en-GB"/>
        </w:rPr>
        <w:t>12:00 noon Monday, 22</w:t>
      </w:r>
      <w:r w:rsidRPr="005264E8">
        <w:rPr>
          <w:b/>
          <w:sz w:val="22"/>
          <w:vertAlign w:val="superscript"/>
          <w:lang w:val="en-GB"/>
        </w:rPr>
        <w:t>nd</w:t>
      </w:r>
      <w:r w:rsidRPr="005264E8">
        <w:rPr>
          <w:b/>
          <w:sz w:val="22"/>
          <w:lang w:val="en-GB"/>
        </w:rPr>
        <w:t xml:space="preserve"> August, 2022</w:t>
      </w:r>
      <w:r>
        <w:rPr>
          <w:sz w:val="22"/>
          <w:lang w:val="en-GB"/>
        </w:rPr>
        <w:t>.</w:t>
      </w:r>
    </w:p>
    <w:p w14:paraId="57DDA385" w14:textId="77777777" w:rsidR="005264E8" w:rsidRPr="005264E8" w:rsidRDefault="005264E8" w:rsidP="00157C31">
      <w:pPr>
        <w:tabs>
          <w:tab w:val="left" w:pos="1741"/>
        </w:tabs>
        <w:rPr>
          <w:b/>
          <w:sz w:val="22"/>
          <w:lang w:val="en-GB"/>
        </w:rPr>
      </w:pPr>
    </w:p>
    <w:p w14:paraId="6CD709F1" w14:textId="77777777" w:rsidR="00016BC7" w:rsidRPr="005264E8" w:rsidRDefault="00016BC7" w:rsidP="00157C31">
      <w:pPr>
        <w:jc w:val="both"/>
        <w:rPr>
          <w:b/>
          <w:sz w:val="22"/>
          <w:lang w:val="en-GB"/>
        </w:rPr>
      </w:pPr>
      <w:r w:rsidRPr="005264E8">
        <w:rPr>
          <w:b/>
          <w:sz w:val="22"/>
          <w:lang w:val="en-GB"/>
        </w:rPr>
        <w:t xml:space="preserve">6.0 </w:t>
      </w:r>
      <w:r w:rsidRPr="005264E8">
        <w:rPr>
          <w:b/>
          <w:sz w:val="22"/>
          <w:lang w:val="en-GB"/>
        </w:rPr>
        <w:tab/>
        <w:t xml:space="preserve">OPENING OF </w:t>
      </w:r>
      <w:r w:rsidR="005264E8">
        <w:rPr>
          <w:b/>
          <w:sz w:val="22"/>
          <w:lang w:val="en-GB"/>
        </w:rPr>
        <w:t xml:space="preserve">EOI AND TECHNICAL </w:t>
      </w:r>
      <w:r w:rsidRPr="005264E8">
        <w:rPr>
          <w:b/>
          <w:sz w:val="22"/>
          <w:lang w:val="en-GB"/>
        </w:rPr>
        <w:t>BID</w:t>
      </w:r>
      <w:r w:rsidR="005264E8">
        <w:rPr>
          <w:b/>
          <w:sz w:val="22"/>
          <w:lang w:val="en-GB"/>
        </w:rPr>
        <w:t>S</w:t>
      </w:r>
    </w:p>
    <w:p w14:paraId="10A56095" w14:textId="77777777" w:rsidR="00016BC7" w:rsidRPr="00157C31" w:rsidRDefault="008A3267" w:rsidP="00157C31">
      <w:pPr>
        <w:jc w:val="both"/>
        <w:rPr>
          <w:sz w:val="22"/>
          <w:lang w:val="en-GB"/>
        </w:rPr>
      </w:pPr>
      <w:r>
        <w:rPr>
          <w:sz w:val="22"/>
          <w:lang w:val="en-GB"/>
        </w:rPr>
        <w:t>The EOI and the technical bids</w:t>
      </w:r>
      <w:r w:rsidR="00016BC7" w:rsidRPr="005264E8">
        <w:rPr>
          <w:b/>
          <w:sz w:val="22"/>
          <w:lang w:val="en-GB"/>
        </w:rPr>
        <w:t xml:space="preserve"> </w:t>
      </w:r>
      <w:r w:rsidR="00016BC7" w:rsidRPr="005264E8">
        <w:rPr>
          <w:sz w:val="22"/>
          <w:lang w:val="en-GB"/>
        </w:rPr>
        <w:t xml:space="preserve">will be opened immediately </w:t>
      </w:r>
      <w:r>
        <w:rPr>
          <w:sz w:val="22"/>
          <w:lang w:val="en-GB"/>
        </w:rPr>
        <w:t>after</w:t>
      </w:r>
      <w:r w:rsidR="00016BC7" w:rsidRPr="005264E8">
        <w:rPr>
          <w:sz w:val="22"/>
          <w:lang w:val="en-GB"/>
        </w:rPr>
        <w:t xml:space="preserve"> the deadline</w:t>
      </w:r>
      <w:r>
        <w:rPr>
          <w:sz w:val="22"/>
          <w:lang w:val="en-GB"/>
        </w:rPr>
        <w:t>s</w:t>
      </w:r>
      <w:r w:rsidR="00016BC7" w:rsidRPr="005264E8">
        <w:rPr>
          <w:sz w:val="22"/>
          <w:lang w:val="en-GB"/>
        </w:rPr>
        <w:t xml:space="preserve"> for submission at</w:t>
      </w:r>
      <w:r w:rsidR="005264E8">
        <w:rPr>
          <w:sz w:val="22"/>
          <w:lang w:val="en-GB"/>
        </w:rPr>
        <w:t xml:space="preserve"> </w:t>
      </w:r>
      <w:r w:rsidR="005264E8" w:rsidRPr="005264E8">
        <w:rPr>
          <w:b/>
          <w:sz w:val="22"/>
          <w:lang w:val="en-GB"/>
        </w:rPr>
        <w:t>12:00 noon Monday, 22</w:t>
      </w:r>
      <w:r w:rsidR="005264E8" w:rsidRPr="005264E8">
        <w:rPr>
          <w:b/>
          <w:sz w:val="22"/>
          <w:vertAlign w:val="superscript"/>
          <w:lang w:val="en-GB"/>
        </w:rPr>
        <w:t>nd</w:t>
      </w:r>
      <w:r w:rsidR="005264E8" w:rsidRPr="005264E8">
        <w:rPr>
          <w:b/>
          <w:sz w:val="22"/>
          <w:lang w:val="en-GB"/>
        </w:rPr>
        <w:t xml:space="preserve"> August, 2022</w:t>
      </w:r>
      <w:r w:rsidR="00016BC7" w:rsidRPr="005264E8">
        <w:rPr>
          <w:sz w:val="22"/>
          <w:lang w:val="en-GB"/>
        </w:rPr>
        <w:t xml:space="preserve"> </w:t>
      </w:r>
      <w:r>
        <w:rPr>
          <w:sz w:val="22"/>
          <w:lang w:val="en-GB"/>
        </w:rPr>
        <w:t xml:space="preserve">and </w:t>
      </w:r>
      <w:r w:rsidRPr="005264E8">
        <w:rPr>
          <w:b/>
          <w:lang w:val="en-GB"/>
        </w:rPr>
        <w:t>12:00 noon Monday, 5</w:t>
      </w:r>
      <w:r w:rsidRPr="005264E8">
        <w:rPr>
          <w:b/>
          <w:vertAlign w:val="superscript"/>
          <w:lang w:val="en-GB"/>
        </w:rPr>
        <w:t>th</w:t>
      </w:r>
      <w:r w:rsidRPr="005264E8">
        <w:rPr>
          <w:b/>
          <w:lang w:val="en-GB"/>
        </w:rPr>
        <w:t xml:space="preserve"> September, 2022</w:t>
      </w:r>
      <w:r>
        <w:rPr>
          <w:b/>
          <w:lang w:val="en-GB"/>
        </w:rPr>
        <w:t xml:space="preserve">, </w:t>
      </w:r>
      <w:r w:rsidRPr="008A3267">
        <w:rPr>
          <w:lang w:val="en-GB"/>
        </w:rPr>
        <w:t>respectively,</w:t>
      </w:r>
      <w:r>
        <w:rPr>
          <w:b/>
          <w:lang w:val="en-GB"/>
        </w:rPr>
        <w:t xml:space="preserve"> </w:t>
      </w:r>
      <w:r>
        <w:rPr>
          <w:lang w:val="en-GB"/>
        </w:rPr>
        <w:t xml:space="preserve">at </w:t>
      </w:r>
      <w:r w:rsidR="00016BC7" w:rsidRPr="005264E8">
        <w:rPr>
          <w:sz w:val="22"/>
          <w:lang w:val="en-GB"/>
        </w:rPr>
        <w:t>the</w:t>
      </w:r>
      <w:r w:rsidR="00016BC7" w:rsidRPr="005264E8">
        <w:rPr>
          <w:b/>
          <w:sz w:val="22"/>
          <w:lang w:val="en-GB"/>
        </w:rPr>
        <w:t xml:space="preserve"> Agency’s Conference Room, 5</w:t>
      </w:r>
      <w:r w:rsidR="00016BC7" w:rsidRPr="005264E8">
        <w:rPr>
          <w:b/>
          <w:sz w:val="22"/>
          <w:vertAlign w:val="superscript"/>
          <w:lang w:val="en-GB"/>
        </w:rPr>
        <w:t>th</w:t>
      </w:r>
      <w:r w:rsidR="00016BC7" w:rsidRPr="005264E8">
        <w:rPr>
          <w:b/>
          <w:sz w:val="22"/>
          <w:lang w:val="en-GB"/>
        </w:rPr>
        <w:t xml:space="preserve"> floor, NAIC house, Abuja </w:t>
      </w:r>
      <w:r w:rsidR="00016BC7" w:rsidRPr="00157C31">
        <w:rPr>
          <w:sz w:val="22"/>
          <w:lang w:val="en-GB"/>
        </w:rPr>
        <w:t xml:space="preserve">in the present </w:t>
      </w:r>
      <w:r w:rsidR="004F7292" w:rsidRPr="00157C31">
        <w:rPr>
          <w:sz w:val="22"/>
          <w:lang w:val="en-GB"/>
        </w:rPr>
        <w:t>of bidders</w:t>
      </w:r>
      <w:r w:rsidR="00016BC7" w:rsidRPr="00157C31">
        <w:rPr>
          <w:sz w:val="22"/>
          <w:lang w:val="en-GB"/>
        </w:rPr>
        <w:t xml:space="preserve"> or their representatives</w:t>
      </w:r>
      <w:r>
        <w:rPr>
          <w:sz w:val="22"/>
          <w:lang w:val="en-GB"/>
        </w:rPr>
        <w:t>, while the financial bids will be kept un-opened</w:t>
      </w:r>
      <w:r w:rsidR="00016BC7" w:rsidRPr="00157C31">
        <w:rPr>
          <w:sz w:val="22"/>
          <w:lang w:val="en-GB"/>
        </w:rPr>
        <w:t xml:space="preserve">. Please ensure that you sign the Bid Submission Register in Procurement </w:t>
      </w:r>
      <w:r w:rsidRPr="00157C31">
        <w:rPr>
          <w:sz w:val="22"/>
          <w:lang w:val="en-GB"/>
        </w:rPr>
        <w:t xml:space="preserve">Unit </w:t>
      </w:r>
      <w:r w:rsidR="00016BC7" w:rsidRPr="00157C31">
        <w:rPr>
          <w:sz w:val="22"/>
          <w:lang w:val="en-GB"/>
        </w:rPr>
        <w:t xml:space="preserve">Office, as NOSDRA will not be held liable for misplaced or wrongly submitted bids.  For further enquiries, please contact Director (Procurement) on e-mail: </w:t>
      </w:r>
      <w:r w:rsidR="00933872" w:rsidRPr="00157C31">
        <w:rPr>
          <w:sz w:val="22"/>
          <w:lang w:val="en-GB"/>
        </w:rPr>
        <w:t>procurement</w:t>
      </w:r>
      <w:r w:rsidR="00016BC7" w:rsidRPr="00157C31">
        <w:rPr>
          <w:sz w:val="22"/>
          <w:lang w:val="en-GB"/>
        </w:rPr>
        <w:t>@nosdra.gov.ng</w:t>
      </w:r>
    </w:p>
    <w:p w14:paraId="3376FBB0" w14:textId="77777777" w:rsidR="00016BC7" w:rsidRPr="00157C31" w:rsidRDefault="00016BC7" w:rsidP="00157C31">
      <w:pPr>
        <w:ind w:left="720" w:hanging="360"/>
        <w:jc w:val="both"/>
        <w:rPr>
          <w:sz w:val="22"/>
          <w:lang w:val="en-GB"/>
        </w:rPr>
      </w:pPr>
    </w:p>
    <w:p w14:paraId="76A25451" w14:textId="77777777" w:rsidR="00016BC7" w:rsidRPr="00157C31" w:rsidRDefault="00016BC7" w:rsidP="00157C31">
      <w:pPr>
        <w:rPr>
          <w:b/>
          <w:sz w:val="22"/>
          <w:lang w:val="en-GB"/>
        </w:rPr>
      </w:pPr>
      <w:r w:rsidRPr="00157C31">
        <w:rPr>
          <w:b/>
          <w:sz w:val="22"/>
          <w:lang w:val="en-GB"/>
        </w:rPr>
        <w:t>7.0</w:t>
      </w:r>
      <w:r w:rsidRPr="00157C31">
        <w:rPr>
          <w:sz w:val="22"/>
          <w:lang w:val="en-GB"/>
        </w:rPr>
        <w:tab/>
      </w:r>
      <w:r w:rsidRPr="00157C31">
        <w:rPr>
          <w:b/>
          <w:sz w:val="22"/>
          <w:lang w:val="en-GB"/>
        </w:rPr>
        <w:t>GENERAL INFORMATION</w:t>
      </w:r>
    </w:p>
    <w:p w14:paraId="4C89AF45" w14:textId="77777777" w:rsidR="00016BC7" w:rsidRPr="00157C31" w:rsidRDefault="00016BC7" w:rsidP="004F7292">
      <w:pPr>
        <w:pStyle w:val="NoSpacing"/>
        <w:numPr>
          <w:ilvl w:val="0"/>
          <w:numId w:val="6"/>
        </w:numPr>
        <w:jc w:val="both"/>
        <w:rPr>
          <w:rFonts w:ascii="Times New Roman" w:hAnsi="Times New Roman"/>
          <w:szCs w:val="24"/>
          <w:lang w:val="en-GB"/>
        </w:rPr>
      </w:pPr>
      <w:r w:rsidRPr="00157C31">
        <w:rPr>
          <w:rFonts w:ascii="Times New Roman" w:hAnsi="Times New Roman"/>
          <w:szCs w:val="24"/>
          <w:lang w:val="en-GB"/>
        </w:rPr>
        <w:t>Bids must be in English Language and signed</w:t>
      </w:r>
      <w:r w:rsidR="008A3267">
        <w:rPr>
          <w:rFonts w:ascii="Times New Roman" w:hAnsi="Times New Roman"/>
          <w:szCs w:val="24"/>
          <w:lang w:val="en-GB"/>
        </w:rPr>
        <w:t xml:space="preserve"> by an official authoris</w:t>
      </w:r>
      <w:r w:rsidRPr="00157C31">
        <w:rPr>
          <w:rFonts w:ascii="Times New Roman" w:hAnsi="Times New Roman"/>
          <w:szCs w:val="24"/>
          <w:lang w:val="en-GB"/>
        </w:rPr>
        <w:t>ed by the bidder:</w:t>
      </w:r>
    </w:p>
    <w:p w14:paraId="5915D00B" w14:textId="77777777" w:rsidR="00016BC7" w:rsidRPr="00157C31" w:rsidRDefault="00016BC7" w:rsidP="004F7292">
      <w:pPr>
        <w:pStyle w:val="NoSpacing"/>
        <w:numPr>
          <w:ilvl w:val="0"/>
          <w:numId w:val="6"/>
        </w:numPr>
        <w:jc w:val="both"/>
        <w:rPr>
          <w:rFonts w:ascii="Times New Roman" w:hAnsi="Times New Roman"/>
          <w:szCs w:val="24"/>
          <w:lang w:val="en-GB"/>
        </w:rPr>
      </w:pPr>
      <w:r w:rsidRPr="00157C31">
        <w:rPr>
          <w:rFonts w:ascii="Times New Roman" w:hAnsi="Times New Roman"/>
          <w:szCs w:val="24"/>
          <w:lang w:val="en-GB"/>
        </w:rPr>
        <w:t>The documents should be arranged in the order listed at 3 above and clearly separated by dividers;</w:t>
      </w:r>
    </w:p>
    <w:p w14:paraId="34DB1801" w14:textId="77777777" w:rsidR="00016BC7" w:rsidRPr="00157C31" w:rsidRDefault="00016BC7" w:rsidP="004F7292">
      <w:pPr>
        <w:pStyle w:val="NoSpacing"/>
        <w:numPr>
          <w:ilvl w:val="0"/>
          <w:numId w:val="6"/>
        </w:numPr>
        <w:jc w:val="both"/>
        <w:rPr>
          <w:rFonts w:ascii="Times New Roman" w:hAnsi="Times New Roman"/>
          <w:szCs w:val="24"/>
          <w:lang w:val="en-GB"/>
        </w:rPr>
      </w:pPr>
      <w:r w:rsidRPr="00157C31">
        <w:rPr>
          <w:rFonts w:ascii="Times New Roman" w:hAnsi="Times New Roman"/>
          <w:szCs w:val="24"/>
          <w:lang w:val="en-GB"/>
        </w:rPr>
        <w:t>Bids submitted after the deadline for submission would be returned un-opened;</w:t>
      </w:r>
    </w:p>
    <w:p w14:paraId="5434A851" w14:textId="77777777" w:rsidR="00016BC7" w:rsidRPr="00157C31" w:rsidRDefault="00016BC7" w:rsidP="004F7292">
      <w:pPr>
        <w:pStyle w:val="NoSpacing"/>
        <w:numPr>
          <w:ilvl w:val="0"/>
          <w:numId w:val="6"/>
        </w:numPr>
        <w:jc w:val="both"/>
        <w:rPr>
          <w:rFonts w:ascii="Times New Roman" w:hAnsi="Times New Roman"/>
          <w:szCs w:val="24"/>
          <w:lang w:val="en-GB"/>
        </w:rPr>
      </w:pPr>
      <w:r w:rsidRPr="00157C31">
        <w:rPr>
          <w:rFonts w:ascii="Times New Roman" w:hAnsi="Times New Roman"/>
          <w:szCs w:val="24"/>
          <w:lang w:val="en-GB"/>
        </w:rPr>
        <w:t>Bidders should not bid for more than one (1) Lot;</w:t>
      </w:r>
    </w:p>
    <w:p w14:paraId="032A0FFC" w14:textId="77777777" w:rsidR="00016BC7" w:rsidRPr="00157C31" w:rsidRDefault="00016BC7" w:rsidP="004F7292">
      <w:pPr>
        <w:pStyle w:val="NoSpacing"/>
        <w:numPr>
          <w:ilvl w:val="0"/>
          <w:numId w:val="6"/>
        </w:numPr>
        <w:jc w:val="both"/>
        <w:rPr>
          <w:rFonts w:ascii="Times New Roman" w:hAnsi="Times New Roman"/>
          <w:szCs w:val="24"/>
          <w:lang w:val="en-GB"/>
        </w:rPr>
      </w:pPr>
      <w:r w:rsidRPr="00157C31">
        <w:rPr>
          <w:rFonts w:ascii="Times New Roman" w:hAnsi="Times New Roman"/>
          <w:szCs w:val="24"/>
          <w:lang w:val="en-GB"/>
        </w:rPr>
        <w:t>Soft copy of submission should be in flash Drive;</w:t>
      </w:r>
    </w:p>
    <w:p w14:paraId="7FB3E0E1" w14:textId="77777777" w:rsidR="00933872" w:rsidRPr="00157C31" w:rsidRDefault="00016BC7" w:rsidP="008A3267">
      <w:pPr>
        <w:pStyle w:val="NoSpacing"/>
        <w:numPr>
          <w:ilvl w:val="0"/>
          <w:numId w:val="6"/>
        </w:numPr>
        <w:jc w:val="both"/>
        <w:rPr>
          <w:rFonts w:ascii="Times New Roman" w:hAnsi="Times New Roman"/>
          <w:szCs w:val="24"/>
          <w:lang w:val="en-GB"/>
        </w:rPr>
      </w:pPr>
      <w:r w:rsidRPr="00157C31">
        <w:rPr>
          <w:rFonts w:ascii="Times New Roman" w:hAnsi="Times New Roman"/>
          <w:szCs w:val="24"/>
          <w:lang w:val="en-GB"/>
        </w:rPr>
        <w:t>All costs will be borne by the bidders;</w:t>
      </w:r>
    </w:p>
    <w:p w14:paraId="32C709A2" w14:textId="77777777" w:rsidR="008A3267" w:rsidRPr="008A3267" w:rsidRDefault="008A3267" w:rsidP="008A3267">
      <w:pPr>
        <w:pStyle w:val="NoSpacing"/>
        <w:numPr>
          <w:ilvl w:val="0"/>
          <w:numId w:val="6"/>
        </w:numPr>
        <w:jc w:val="both"/>
        <w:rPr>
          <w:rFonts w:ascii="Times New Roman" w:hAnsi="Times New Roman"/>
          <w:szCs w:val="24"/>
          <w:lang w:val="en-GB"/>
        </w:rPr>
      </w:pPr>
      <w:r w:rsidRPr="008A3267">
        <w:rPr>
          <w:rFonts w:ascii="Times New Roman" w:hAnsi="Times New Roman"/>
          <w:szCs w:val="24"/>
          <w:lang w:val="en-GB"/>
        </w:rPr>
        <w:t>Attendees at the bids opening shall be required to wash hands, use hand sanitiser, wear mask and observe physical distancing. The Bids Opening in the presence of observers will be covered by video recording and invitation link will be sent to bidder who chooses to join the bid opening online;</w:t>
      </w:r>
    </w:p>
    <w:p w14:paraId="18C95A01" w14:textId="77777777" w:rsidR="008A3267" w:rsidRPr="008A3267" w:rsidRDefault="008A3267" w:rsidP="008A3267">
      <w:pPr>
        <w:pStyle w:val="NoSpacing"/>
        <w:numPr>
          <w:ilvl w:val="0"/>
          <w:numId w:val="6"/>
        </w:numPr>
        <w:jc w:val="both"/>
        <w:rPr>
          <w:rFonts w:ascii="Times New Roman" w:hAnsi="Times New Roman"/>
          <w:szCs w:val="24"/>
          <w:lang w:val="en-GB"/>
        </w:rPr>
      </w:pPr>
      <w:r w:rsidRPr="008A3267">
        <w:rPr>
          <w:rFonts w:ascii="Times New Roman" w:hAnsi="Times New Roman"/>
          <w:szCs w:val="24"/>
          <w:lang w:val="en-GB"/>
        </w:rPr>
        <w:t>Bid documents can also be collected in soft copies and Bidders can submit through Post (Courier Services);</w:t>
      </w:r>
    </w:p>
    <w:p w14:paraId="7F8E9D25" w14:textId="77777777" w:rsidR="008A3267" w:rsidRPr="008A3267" w:rsidRDefault="008A3267" w:rsidP="008A3267">
      <w:pPr>
        <w:pStyle w:val="NoSpacing"/>
        <w:numPr>
          <w:ilvl w:val="0"/>
          <w:numId w:val="6"/>
        </w:numPr>
        <w:jc w:val="both"/>
        <w:rPr>
          <w:rFonts w:ascii="Times New Roman" w:hAnsi="Times New Roman"/>
          <w:szCs w:val="24"/>
          <w:lang w:val="en-GB"/>
        </w:rPr>
      </w:pPr>
      <w:r>
        <w:rPr>
          <w:rFonts w:ascii="Times New Roman" w:hAnsi="Times New Roman"/>
          <w:szCs w:val="24"/>
          <w:lang w:val="en-GB"/>
        </w:rPr>
        <w:t xml:space="preserve">Goods &amp; Works: </w:t>
      </w:r>
      <w:r w:rsidRPr="008A3267">
        <w:rPr>
          <w:rFonts w:ascii="Times New Roman" w:hAnsi="Times New Roman"/>
          <w:szCs w:val="24"/>
          <w:lang w:val="en-GB"/>
        </w:rPr>
        <w:t>Only pre-qualified bidders at technical evaluation will be invited at a later date for financial bids opening, while the financial bids of un-successful bidders will be returned un-opened</w:t>
      </w:r>
    </w:p>
    <w:p w14:paraId="1D2F8AE8" w14:textId="77777777" w:rsidR="008A3267" w:rsidRDefault="008A3267" w:rsidP="008A3267">
      <w:pPr>
        <w:pStyle w:val="NoSpacing"/>
        <w:numPr>
          <w:ilvl w:val="0"/>
          <w:numId w:val="6"/>
        </w:numPr>
        <w:jc w:val="both"/>
        <w:rPr>
          <w:rFonts w:ascii="Times New Roman" w:hAnsi="Times New Roman"/>
          <w:szCs w:val="24"/>
          <w:lang w:val="en-GB"/>
        </w:rPr>
      </w:pPr>
      <w:r>
        <w:rPr>
          <w:rFonts w:ascii="Times New Roman" w:hAnsi="Times New Roman"/>
          <w:szCs w:val="24"/>
          <w:lang w:val="en-GB"/>
        </w:rPr>
        <w:t>Services: Only shortlisted Consultants will be invited at a later date for collection of Request for Proposals;</w:t>
      </w:r>
    </w:p>
    <w:p w14:paraId="43F0A080" w14:textId="77777777" w:rsidR="00016BC7" w:rsidRPr="008A3267" w:rsidRDefault="00016BC7" w:rsidP="008A3267">
      <w:pPr>
        <w:pStyle w:val="NoSpacing"/>
        <w:numPr>
          <w:ilvl w:val="0"/>
          <w:numId w:val="6"/>
        </w:numPr>
        <w:jc w:val="both"/>
        <w:rPr>
          <w:rFonts w:ascii="Times New Roman" w:hAnsi="Times New Roman"/>
          <w:szCs w:val="24"/>
          <w:lang w:val="en-GB"/>
        </w:rPr>
      </w:pPr>
      <w:r w:rsidRPr="008A3267">
        <w:rPr>
          <w:rFonts w:ascii="Times New Roman" w:hAnsi="Times New Roman"/>
          <w:szCs w:val="24"/>
          <w:lang w:val="en-GB"/>
        </w:rPr>
        <w:t>NOSDRA is not bound to pre-qualify</w:t>
      </w:r>
      <w:r w:rsidR="008A3267">
        <w:rPr>
          <w:rFonts w:ascii="Times New Roman" w:hAnsi="Times New Roman"/>
          <w:szCs w:val="24"/>
          <w:lang w:val="en-GB"/>
        </w:rPr>
        <w:t>/shortlist</w:t>
      </w:r>
      <w:r w:rsidRPr="008A3267">
        <w:rPr>
          <w:rFonts w:ascii="Times New Roman" w:hAnsi="Times New Roman"/>
          <w:szCs w:val="24"/>
          <w:lang w:val="en-GB"/>
        </w:rPr>
        <w:t xml:space="preserve"> any bidder and reserves the right to annul the procurement process at any time without incurring any liabilities in accordance with Section 28 of the Public Procurement Act</w:t>
      </w:r>
      <w:r w:rsidR="008A3267">
        <w:rPr>
          <w:rFonts w:ascii="Times New Roman" w:hAnsi="Times New Roman"/>
          <w:szCs w:val="24"/>
          <w:lang w:val="en-GB"/>
        </w:rPr>
        <w:t>,</w:t>
      </w:r>
      <w:r w:rsidRPr="008A3267">
        <w:rPr>
          <w:rFonts w:ascii="Times New Roman" w:hAnsi="Times New Roman"/>
          <w:szCs w:val="24"/>
          <w:lang w:val="en-GB"/>
        </w:rPr>
        <w:t xml:space="preserve"> 2007.</w:t>
      </w:r>
    </w:p>
    <w:p w14:paraId="014A2D83" w14:textId="77777777" w:rsidR="00016BC7" w:rsidRPr="00157C31" w:rsidRDefault="00016BC7" w:rsidP="00157C31">
      <w:pPr>
        <w:jc w:val="both"/>
        <w:rPr>
          <w:sz w:val="22"/>
          <w:lang w:val="en-GB"/>
        </w:rPr>
      </w:pPr>
    </w:p>
    <w:p w14:paraId="15C0BA5B" w14:textId="77777777" w:rsidR="00016BC7" w:rsidRPr="00157C31" w:rsidRDefault="00016BC7" w:rsidP="008A3267">
      <w:pPr>
        <w:pStyle w:val="NoSpacing"/>
        <w:ind w:left="360"/>
        <w:jc w:val="center"/>
        <w:rPr>
          <w:rFonts w:ascii="Times New Roman" w:hAnsi="Times New Roman"/>
          <w:szCs w:val="24"/>
          <w:lang w:val="en-GB"/>
        </w:rPr>
      </w:pPr>
      <w:r w:rsidRPr="00157C31">
        <w:rPr>
          <w:rFonts w:ascii="Times New Roman" w:hAnsi="Times New Roman"/>
          <w:szCs w:val="24"/>
          <w:lang w:val="en-GB"/>
        </w:rPr>
        <w:t>Signed:</w:t>
      </w:r>
    </w:p>
    <w:p w14:paraId="1DB9FEA4" w14:textId="77777777" w:rsidR="00016BC7" w:rsidRPr="00157C31" w:rsidRDefault="001D00B2" w:rsidP="008A3267">
      <w:pPr>
        <w:pStyle w:val="NoSpacing"/>
        <w:ind w:left="360"/>
        <w:jc w:val="center"/>
        <w:rPr>
          <w:rFonts w:ascii="Times New Roman" w:hAnsi="Times New Roman"/>
          <w:b/>
          <w:szCs w:val="24"/>
          <w:lang w:val="en-GB"/>
        </w:rPr>
      </w:pPr>
      <w:r>
        <w:rPr>
          <w:rFonts w:ascii="Times New Roman" w:hAnsi="Times New Roman"/>
          <w:b/>
          <w:szCs w:val="24"/>
          <w:lang w:val="en-GB"/>
        </w:rPr>
        <w:t>Director-</w:t>
      </w:r>
      <w:r w:rsidR="00016BC7" w:rsidRPr="00157C31">
        <w:rPr>
          <w:rFonts w:ascii="Times New Roman" w:hAnsi="Times New Roman"/>
          <w:b/>
          <w:szCs w:val="24"/>
          <w:lang w:val="en-GB"/>
        </w:rPr>
        <w:t>General</w:t>
      </w:r>
    </w:p>
    <w:p w14:paraId="036AA6CC" w14:textId="77777777" w:rsidR="00016BC7" w:rsidRPr="00157C31" w:rsidRDefault="00016BC7" w:rsidP="008A3267">
      <w:pPr>
        <w:ind w:firstLine="360"/>
        <w:jc w:val="center"/>
        <w:rPr>
          <w:sz w:val="22"/>
          <w:lang w:val="en-GB"/>
        </w:rPr>
      </w:pPr>
      <w:r w:rsidRPr="00157C31">
        <w:rPr>
          <w:sz w:val="22"/>
          <w:lang w:val="en-GB"/>
        </w:rPr>
        <w:t xml:space="preserve">National Oil </w:t>
      </w:r>
      <w:r w:rsidR="008A3267">
        <w:rPr>
          <w:sz w:val="22"/>
          <w:lang w:val="en-GB"/>
        </w:rPr>
        <w:t xml:space="preserve">Spill Detection and </w:t>
      </w:r>
      <w:r w:rsidRPr="00157C31">
        <w:rPr>
          <w:sz w:val="22"/>
          <w:lang w:val="en-GB"/>
        </w:rPr>
        <w:t>Response Agency (NOSDRA)</w:t>
      </w:r>
    </w:p>
    <w:sectPr w:rsidR="00016BC7" w:rsidRPr="00157C31" w:rsidSect="00933872">
      <w:type w:val="continuous"/>
      <w:pgSz w:w="12240" w:h="15840"/>
      <w:pgMar w:top="1440" w:right="1440" w:bottom="1440" w:left="1134" w:header="708" w:footer="708" w:gutter="0"/>
      <w:cols w:num="2" w:space="14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853E3"/>
    <w:multiLevelType w:val="hybridMultilevel"/>
    <w:tmpl w:val="2EB079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090DCA"/>
    <w:multiLevelType w:val="hybridMultilevel"/>
    <w:tmpl w:val="78840060"/>
    <w:lvl w:ilvl="0" w:tplc="0B3448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9F5F68"/>
    <w:multiLevelType w:val="hybridMultilevel"/>
    <w:tmpl w:val="E948F9B0"/>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56A66485"/>
    <w:multiLevelType w:val="hybridMultilevel"/>
    <w:tmpl w:val="20469CD2"/>
    <w:lvl w:ilvl="0" w:tplc="04090019">
      <w:start w:val="1"/>
      <w:numFmt w:val="lowerLetter"/>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4" w15:restartNumberingAfterBreak="0">
    <w:nsid w:val="574E04CC"/>
    <w:multiLevelType w:val="hybridMultilevel"/>
    <w:tmpl w:val="DBFA997A"/>
    <w:lvl w:ilvl="0" w:tplc="B57CEB5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3D52E8"/>
    <w:multiLevelType w:val="hybridMultilevel"/>
    <w:tmpl w:val="B3A2C9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37864"/>
    <w:multiLevelType w:val="hybridMultilevel"/>
    <w:tmpl w:val="BD1461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961CBE"/>
    <w:multiLevelType w:val="hybridMultilevel"/>
    <w:tmpl w:val="B490A972"/>
    <w:lvl w:ilvl="0" w:tplc="FD28A5E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5077889">
    <w:abstractNumId w:val="3"/>
  </w:num>
  <w:num w:numId="2" w16cid:durableId="6441612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55588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510844">
    <w:abstractNumId w:val="6"/>
  </w:num>
  <w:num w:numId="5" w16cid:durableId="1149974698">
    <w:abstractNumId w:val="0"/>
  </w:num>
  <w:num w:numId="6" w16cid:durableId="216285278">
    <w:abstractNumId w:val="5"/>
  </w:num>
  <w:num w:numId="7" w16cid:durableId="1356035859">
    <w:abstractNumId w:val="4"/>
  </w:num>
  <w:num w:numId="8" w16cid:durableId="1356728413">
    <w:abstractNumId w:val="1"/>
  </w:num>
  <w:num w:numId="9" w16cid:durableId="1633290319">
    <w:abstractNumId w:val="7"/>
  </w:num>
  <w:num w:numId="10" w16cid:durableId="1537349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BC7"/>
    <w:rsid w:val="00016BC7"/>
    <w:rsid w:val="001046E8"/>
    <w:rsid w:val="00132388"/>
    <w:rsid w:val="00150AB7"/>
    <w:rsid w:val="00157C31"/>
    <w:rsid w:val="001B78DC"/>
    <w:rsid w:val="001D00B2"/>
    <w:rsid w:val="00304676"/>
    <w:rsid w:val="00340AA2"/>
    <w:rsid w:val="003D6D3E"/>
    <w:rsid w:val="004F7292"/>
    <w:rsid w:val="005264E8"/>
    <w:rsid w:val="005B0B54"/>
    <w:rsid w:val="007515B7"/>
    <w:rsid w:val="008A3267"/>
    <w:rsid w:val="0093122C"/>
    <w:rsid w:val="00933872"/>
    <w:rsid w:val="009435B1"/>
    <w:rsid w:val="00A31D87"/>
    <w:rsid w:val="00A67C44"/>
    <w:rsid w:val="00AC363F"/>
    <w:rsid w:val="00CF793F"/>
    <w:rsid w:val="00EE0B98"/>
    <w:rsid w:val="00FB3B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8"/>
    <o:shapelayout v:ext="edit">
      <o:idmap v:ext="edit" data="1"/>
    </o:shapelayout>
  </w:shapeDefaults>
  <w:decimalSymbol w:val="."/>
  <w:listSeparator w:val=","/>
  <w14:docId w14:val="6C61A6D2"/>
  <w15:docId w15:val="{F7919EB1-A0CA-44B9-BDA8-3F461FCA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B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ing 51"/>
    <w:link w:val="NoSpacingChar"/>
    <w:uiPriority w:val="1"/>
    <w:qFormat/>
    <w:rsid w:val="00016BC7"/>
    <w:pPr>
      <w:spacing w:after="0" w:line="240" w:lineRule="auto"/>
    </w:pPr>
    <w:rPr>
      <w:rFonts w:ascii="Calibri" w:eastAsia="Calibri" w:hAnsi="Calibri" w:cs="Times New Roman"/>
    </w:rPr>
  </w:style>
  <w:style w:type="paragraph" w:styleId="ListParagraph">
    <w:name w:val="List Paragraph"/>
    <w:basedOn w:val="Normal"/>
    <w:uiPriority w:val="34"/>
    <w:qFormat/>
    <w:rsid w:val="00016BC7"/>
    <w:pPr>
      <w:spacing w:after="200" w:line="276" w:lineRule="auto"/>
      <w:ind w:left="720"/>
      <w:contextualSpacing/>
    </w:pPr>
    <w:rPr>
      <w:rFonts w:ascii="Calibri" w:eastAsia="Calibri" w:hAnsi="Calibri"/>
      <w:sz w:val="22"/>
      <w:szCs w:val="22"/>
    </w:rPr>
  </w:style>
  <w:style w:type="character" w:customStyle="1" w:styleId="NoSpacingChar">
    <w:name w:val="No Spacing Char"/>
    <w:aliases w:val="Heading 51 Char"/>
    <w:basedOn w:val="DefaultParagraphFont"/>
    <w:link w:val="NoSpacing"/>
    <w:uiPriority w:val="1"/>
    <w:locked/>
    <w:rsid w:val="00016BC7"/>
    <w:rPr>
      <w:rFonts w:ascii="Calibri" w:eastAsia="Calibri" w:hAnsi="Calibri" w:cs="Times New Roman"/>
      <w:lang w:val="en-US"/>
    </w:rPr>
  </w:style>
  <w:style w:type="character" w:styleId="Hyperlink">
    <w:name w:val="Hyperlink"/>
    <w:basedOn w:val="DefaultParagraphFont"/>
    <w:uiPriority w:val="99"/>
    <w:unhideWhenUsed/>
    <w:rsid w:val="00157C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Nosdra ict</dc:creator>
  <cp:lastModifiedBy>Nosdra ict</cp:lastModifiedBy>
  <cp:revision>2</cp:revision>
  <dcterms:created xsi:type="dcterms:W3CDTF">2022-08-06T09:35:00Z</dcterms:created>
  <dcterms:modified xsi:type="dcterms:W3CDTF">2022-08-06T09:35:00Z</dcterms:modified>
</cp:coreProperties>
</file>